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numPr>
          <w:ilvl w:val="0"/>
          <w:numId w:val="0"/>
        </w:numPr>
        <w:spacing w:before="100" w:beforeAutospacing="1" w:after="100" w:afterAutospacing="1" w:line="360" w:lineRule="auto"/>
        <w:jc w:val="left"/>
        <w:rPr>
          <w:rFonts w:hint="eastAsia"/>
          <w:szCs w:val="24"/>
        </w:rPr>
      </w:pPr>
      <w:r>
        <w:rPr>
          <w:rFonts w:hint="eastAsia" w:ascii="宋体" w:hAnsi="宋体" w:eastAsia="宋体" w:cs="宋体"/>
          <w:b/>
          <w:bCs/>
          <w:kern w:val="0"/>
          <w:szCs w:val="21"/>
          <w:lang w:eastAsia="zh-CN"/>
        </w:rPr>
        <w:t>附件</w:t>
      </w:r>
      <w:r>
        <w:rPr>
          <w:rFonts w:hint="eastAsia" w:ascii="宋体" w:hAnsi="宋体" w:eastAsia="宋体" w:cs="宋体"/>
          <w:b/>
          <w:bCs/>
          <w:kern w:val="0"/>
          <w:szCs w:val="21"/>
          <w:lang w:val="en-US" w:eastAsia="zh-CN"/>
        </w:rPr>
        <w:t xml:space="preserve">1                                                   </w:t>
      </w:r>
      <w:r>
        <w:rPr>
          <w:rFonts w:hint="eastAsia" w:ascii="宋体" w:hAnsi="宋体" w:eastAsia="宋体" w:cs="宋体"/>
          <w:b/>
          <w:bCs/>
          <w:kern w:val="0"/>
          <w:sz w:val="30"/>
          <w:szCs w:val="30"/>
          <w:lang w:val="en-US" w:eastAsia="zh-CN"/>
        </w:rPr>
        <w:t xml:space="preserve"> </w:t>
      </w:r>
      <w:r>
        <w:rPr>
          <w:rFonts w:ascii="宋体" w:hAnsi="宋体" w:eastAsia="宋体" w:cs="宋体"/>
          <w:b/>
          <w:bCs/>
          <w:kern w:val="0"/>
          <w:sz w:val="30"/>
          <w:szCs w:val="30"/>
        </w:rPr>
        <w:t>询价内容</w:t>
      </w:r>
      <w:r>
        <w:rPr>
          <w:rFonts w:hint="eastAsia" w:ascii="宋体" w:hAnsi="宋体" w:eastAsia="宋体" w:cs="宋体"/>
          <w:b/>
          <w:bCs/>
          <w:kern w:val="0"/>
          <w:sz w:val="30"/>
          <w:szCs w:val="30"/>
        </w:rPr>
        <w:t>及</w:t>
      </w:r>
      <w:r>
        <w:rPr>
          <w:rFonts w:ascii="宋体" w:hAnsi="宋体" w:eastAsia="宋体" w:cs="宋体"/>
          <w:b/>
          <w:bCs/>
          <w:kern w:val="0"/>
          <w:sz w:val="30"/>
          <w:szCs w:val="30"/>
        </w:rPr>
        <w:t>要求</w:t>
      </w:r>
    </w:p>
    <w:tbl>
      <w:tblPr>
        <w:tblStyle w:val="10"/>
        <w:tblW w:w="12233" w:type="dxa"/>
        <w:jc w:val="center"/>
        <w:tblInd w:w="33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1800"/>
        <w:gridCol w:w="6285"/>
        <w:gridCol w:w="1020"/>
        <w:gridCol w:w="1170"/>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8" w:type="dxa"/>
            <w:vAlign w:val="center"/>
          </w:tcPr>
          <w:p>
            <w:pPr>
              <w:jc w:val="center"/>
              <w:rPr>
                <w:rFonts w:ascii="Times New Roman" w:hAnsi="Times New Roman"/>
                <w:szCs w:val="24"/>
              </w:rPr>
            </w:pPr>
            <w:bookmarkStart w:id="0" w:name="_Toc304388443"/>
            <w:r>
              <w:rPr>
                <w:rFonts w:hint="eastAsia" w:ascii="Times New Roman" w:hAnsi="Times New Roman"/>
                <w:szCs w:val="24"/>
              </w:rPr>
              <w:t>序号</w:t>
            </w:r>
          </w:p>
        </w:tc>
        <w:tc>
          <w:tcPr>
            <w:tcW w:w="1800" w:type="dxa"/>
            <w:vAlign w:val="center"/>
          </w:tcPr>
          <w:p>
            <w:pPr>
              <w:jc w:val="center"/>
              <w:rPr>
                <w:rFonts w:ascii="Times New Roman" w:hAnsi="Times New Roman"/>
                <w:szCs w:val="24"/>
              </w:rPr>
            </w:pPr>
            <w:r>
              <w:rPr>
                <w:rFonts w:hint="eastAsia" w:ascii="Times New Roman" w:hAnsi="Times New Roman"/>
                <w:szCs w:val="24"/>
              </w:rPr>
              <w:t>采购项目名称</w:t>
            </w:r>
          </w:p>
        </w:tc>
        <w:tc>
          <w:tcPr>
            <w:tcW w:w="6285" w:type="dxa"/>
            <w:vAlign w:val="center"/>
          </w:tcPr>
          <w:p>
            <w:pPr>
              <w:jc w:val="center"/>
              <w:rPr>
                <w:rFonts w:ascii="Times New Roman" w:hAnsi="Times New Roman"/>
                <w:szCs w:val="24"/>
              </w:rPr>
            </w:pPr>
            <w:r>
              <w:rPr>
                <w:rFonts w:hint="eastAsia" w:ascii="Times New Roman" w:hAnsi="Times New Roman"/>
                <w:szCs w:val="24"/>
              </w:rPr>
              <w:t>主要技术参数</w:t>
            </w:r>
          </w:p>
        </w:tc>
        <w:tc>
          <w:tcPr>
            <w:tcW w:w="1020" w:type="dxa"/>
            <w:vAlign w:val="center"/>
          </w:tcPr>
          <w:p>
            <w:pPr>
              <w:jc w:val="center"/>
              <w:rPr>
                <w:rFonts w:ascii="Times New Roman" w:hAnsi="Times New Roman"/>
                <w:szCs w:val="24"/>
              </w:rPr>
            </w:pPr>
            <w:r>
              <w:rPr>
                <w:rFonts w:hint="eastAsia" w:ascii="Times New Roman" w:hAnsi="Times New Roman"/>
                <w:szCs w:val="24"/>
              </w:rPr>
              <w:t>数量</w:t>
            </w:r>
          </w:p>
        </w:tc>
        <w:tc>
          <w:tcPr>
            <w:tcW w:w="1170" w:type="dxa"/>
            <w:vAlign w:val="center"/>
          </w:tcPr>
          <w:p>
            <w:pPr>
              <w:jc w:val="center"/>
              <w:rPr>
                <w:rFonts w:ascii="Times New Roman" w:hAnsi="Times New Roman"/>
                <w:szCs w:val="24"/>
              </w:rPr>
            </w:pPr>
            <w:r>
              <w:rPr>
                <w:rFonts w:hint="eastAsia" w:ascii="Times New Roman" w:hAnsi="Times New Roman"/>
                <w:szCs w:val="24"/>
              </w:rPr>
              <w:t>预算单价</w:t>
            </w:r>
          </w:p>
          <w:p>
            <w:pPr>
              <w:jc w:val="center"/>
              <w:rPr>
                <w:rFonts w:ascii="Times New Roman" w:hAnsi="Times New Roman"/>
                <w:szCs w:val="24"/>
              </w:rPr>
            </w:pPr>
            <w:r>
              <w:rPr>
                <w:rFonts w:hint="eastAsia" w:ascii="Times New Roman" w:hAnsi="Times New Roman"/>
                <w:szCs w:val="24"/>
              </w:rPr>
              <w:t>（元</w:t>
            </w:r>
            <w:r>
              <w:rPr>
                <w:rFonts w:ascii="Times New Roman" w:hAnsi="Times New Roman"/>
                <w:szCs w:val="24"/>
              </w:rPr>
              <w:t>）</w:t>
            </w:r>
          </w:p>
        </w:tc>
        <w:tc>
          <w:tcPr>
            <w:tcW w:w="1530" w:type="dxa"/>
            <w:vAlign w:val="center"/>
          </w:tcPr>
          <w:p>
            <w:pPr>
              <w:jc w:val="center"/>
              <w:rPr>
                <w:rFonts w:ascii="Times New Roman" w:hAnsi="Times New Roman"/>
                <w:szCs w:val="24"/>
              </w:rPr>
            </w:pPr>
            <w:r>
              <w:rPr>
                <w:rFonts w:hint="eastAsia" w:ascii="Times New Roman" w:hAnsi="Times New Roman"/>
                <w:szCs w:val="24"/>
              </w:rPr>
              <w:t>合计金额</w:t>
            </w:r>
          </w:p>
          <w:p>
            <w:pPr>
              <w:jc w:val="center"/>
              <w:rPr>
                <w:rFonts w:ascii="Times New Roman" w:hAnsi="Times New Roman"/>
                <w:szCs w:val="24"/>
              </w:rPr>
            </w:pPr>
            <w:r>
              <w:rPr>
                <w:rFonts w:hint="eastAsia" w:ascii="Times New Roman" w:hAnsi="Times New Roman"/>
                <w:szCs w:val="24"/>
              </w:rPr>
              <w:t>（元</w:t>
            </w:r>
            <w:r>
              <w:rPr>
                <w:rFonts w:ascii="Times New Roman" w:hAnsi="Times New Roman"/>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2" w:hRule="atLeast"/>
          <w:jc w:val="center"/>
        </w:trPr>
        <w:tc>
          <w:tcPr>
            <w:tcW w:w="428" w:type="dxa"/>
            <w:vAlign w:val="center"/>
          </w:tcPr>
          <w:p>
            <w:pPr>
              <w:jc w:val="center"/>
              <w:rPr>
                <w:rFonts w:ascii="Times New Roman" w:hAnsi="Times New Roman"/>
                <w:szCs w:val="24"/>
              </w:rPr>
            </w:pPr>
            <w:r>
              <w:rPr>
                <w:rFonts w:hint="eastAsia" w:ascii="Times New Roman" w:hAnsi="Times New Roman"/>
                <w:szCs w:val="24"/>
              </w:rPr>
              <w:t>1</w:t>
            </w:r>
          </w:p>
        </w:tc>
        <w:tc>
          <w:tcPr>
            <w:tcW w:w="1800" w:type="dxa"/>
            <w:vAlign w:val="center"/>
          </w:tcPr>
          <w:p>
            <w:pPr>
              <w:spacing w:line="240" w:lineRule="exact"/>
              <w:jc w:val="left"/>
              <w:rPr>
                <w:rFonts w:ascii="Times New Roman" w:hAnsi="Times New Roman"/>
                <w:szCs w:val="24"/>
              </w:rPr>
            </w:pPr>
            <w:r>
              <w:rPr>
                <w:rFonts w:hint="eastAsia" w:ascii="Times New Roman" w:hAnsi="Times New Roman"/>
                <w:szCs w:val="24"/>
              </w:rPr>
              <w:t>明湖二楼地胶</w:t>
            </w:r>
          </w:p>
        </w:tc>
        <w:tc>
          <w:tcPr>
            <w:tcW w:w="6285" w:type="dxa"/>
            <w:vAlign w:val="center"/>
          </w:tcPr>
          <w:p>
            <w:pPr>
              <w:spacing w:line="360" w:lineRule="exact"/>
              <w:ind w:firstLine="420" w:firstLineChars="200"/>
              <w:rPr>
                <w:rFonts w:hint="eastAsia" w:ascii="宋体" w:hAnsi="宋体"/>
                <w:sz w:val="21"/>
                <w:szCs w:val="21"/>
              </w:rPr>
            </w:pPr>
            <w:r>
              <w:rPr>
                <w:rFonts w:hint="eastAsia"/>
                <w:color w:val="000000"/>
                <w:sz w:val="21"/>
                <w:szCs w:val="21"/>
              </w:rPr>
              <w:t>宽度1.8米厚度4.5mm 灰色宝石纹</w:t>
            </w:r>
            <w:r>
              <w:rPr>
                <w:rFonts w:hint="eastAsia"/>
                <w:sz w:val="21"/>
                <w:szCs w:val="21"/>
              </w:rPr>
              <w:t>PVC地胶</w:t>
            </w:r>
            <w:r>
              <w:rPr>
                <w:rFonts w:hint="eastAsia" w:ascii="宋体" w:hAnsi="宋体"/>
                <w:sz w:val="21"/>
                <w:szCs w:val="21"/>
              </w:rPr>
              <w:t>宝石纹产品表层，更为均匀、细腻与莹亮，可承受不同方向与力度的耐磨力。100%纯PVC优质原料，科学的原料配比从本质上保证了产品各项性能参数的稳定，无论是回弹率、摩擦系数还是能量返还等保证在最佳的水平玻纤无纺布+双向聚酯网格稳定层的打造，可有效防止地板收缩，延长地板的使用寿命。</w:t>
            </w:r>
          </w:p>
          <w:p>
            <w:pPr>
              <w:spacing w:line="360" w:lineRule="exact"/>
              <w:ind w:firstLine="420" w:firstLineChars="200"/>
              <w:rPr>
                <w:rFonts w:hint="eastAsia" w:ascii="宋体" w:hAnsi="宋体"/>
                <w:sz w:val="21"/>
                <w:szCs w:val="21"/>
              </w:rPr>
            </w:pPr>
            <w:r>
              <w:rPr>
                <w:rFonts w:hint="eastAsia" w:ascii="宋体" w:hAnsi="宋体"/>
                <w:sz w:val="21"/>
                <w:szCs w:val="21"/>
              </w:rPr>
              <w:t>产品的发泡层使用高密度共聚物，结合底部吸附式技术，有效增强对地板的附着力，震动吸收率可达57%以上，有效地缓解了运动冲力对膝、踝等关节的冲击。同时柔和的宝石状表面纹路更有利于场地的清洁，更能有效的分散球场灯光的聚点，不会对打球者的视力造成困扰。</w:t>
            </w:r>
          </w:p>
          <w:p>
            <w:pPr>
              <w:spacing w:line="360" w:lineRule="exact"/>
              <w:rPr>
                <w:rFonts w:hint="eastAsia" w:ascii="宋体" w:hAnsi="宋体"/>
                <w:sz w:val="21"/>
                <w:szCs w:val="21"/>
              </w:rPr>
            </w:pPr>
            <w:r>
              <w:rPr>
                <w:rFonts w:hint="eastAsia"/>
              </w:rPr>
              <w:t>提供的货物必须符合国家相关安全、环保标准、行业标准。</w:t>
            </w:r>
          </w:p>
        </w:tc>
        <w:tc>
          <w:tcPr>
            <w:tcW w:w="1020" w:type="dxa"/>
            <w:vAlign w:val="center"/>
          </w:tcPr>
          <w:p>
            <w:pPr>
              <w:spacing w:line="240" w:lineRule="exact"/>
              <w:jc w:val="center"/>
              <w:rPr>
                <w:rFonts w:hint="eastAsia"/>
                <w:szCs w:val="21"/>
              </w:rPr>
            </w:pPr>
            <w:r>
              <w:rPr>
                <w:rFonts w:hint="eastAsia"/>
              </w:rPr>
              <w:t>865㎡</w:t>
            </w:r>
          </w:p>
        </w:tc>
        <w:tc>
          <w:tcPr>
            <w:tcW w:w="1170" w:type="dxa"/>
            <w:vAlign w:val="center"/>
          </w:tcPr>
          <w:p>
            <w:pPr>
              <w:jc w:val="center"/>
              <w:rPr>
                <w:rFonts w:hint="eastAsia"/>
              </w:rPr>
            </w:pPr>
            <w:r>
              <w:rPr>
                <w:rFonts w:hint="eastAsia"/>
              </w:rPr>
              <w:t>80</w:t>
            </w:r>
          </w:p>
        </w:tc>
        <w:tc>
          <w:tcPr>
            <w:tcW w:w="1530" w:type="dxa"/>
            <w:vAlign w:val="center"/>
          </w:tcPr>
          <w:p>
            <w:pPr>
              <w:jc w:val="center"/>
              <w:rPr>
                <w:rFonts w:hint="eastAsia"/>
              </w:rPr>
            </w:pPr>
            <w:r>
              <w:rPr>
                <w:rFonts w:hint="eastAsia"/>
              </w:rPr>
              <w:t>69200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428" w:type="dxa"/>
            <w:vAlign w:val="center"/>
          </w:tcPr>
          <w:p>
            <w:pPr>
              <w:jc w:val="center"/>
              <w:rPr>
                <w:rFonts w:ascii="Times New Roman" w:hAnsi="Times New Roman"/>
                <w:szCs w:val="24"/>
              </w:rPr>
            </w:pPr>
            <w:r>
              <w:rPr>
                <w:rFonts w:hint="eastAsia" w:ascii="Times New Roman" w:hAnsi="Times New Roman"/>
                <w:szCs w:val="24"/>
              </w:rPr>
              <w:t>2</w:t>
            </w:r>
          </w:p>
        </w:tc>
        <w:tc>
          <w:tcPr>
            <w:tcW w:w="1800" w:type="dxa"/>
            <w:vAlign w:val="center"/>
          </w:tcPr>
          <w:p>
            <w:pPr>
              <w:spacing w:line="240" w:lineRule="exact"/>
              <w:jc w:val="left"/>
              <w:rPr>
                <w:rFonts w:ascii="Times New Roman" w:hAnsi="Times New Roman"/>
                <w:szCs w:val="24"/>
              </w:rPr>
            </w:pPr>
            <w:r>
              <w:rPr>
                <w:rFonts w:hint="eastAsia" w:ascii="Times New Roman" w:hAnsi="Times New Roman"/>
                <w:szCs w:val="24"/>
              </w:rPr>
              <w:t>台球桌拆装（提供球袋、桌布并更换）</w:t>
            </w:r>
          </w:p>
        </w:tc>
        <w:tc>
          <w:tcPr>
            <w:tcW w:w="6285" w:type="dxa"/>
            <w:vAlign w:val="center"/>
          </w:tcPr>
          <w:p>
            <w:pPr>
              <w:spacing w:line="240" w:lineRule="exact"/>
              <w:jc w:val="left"/>
              <w:rPr>
                <w:rFonts w:hint="eastAsia" w:ascii="Times New Roman" w:hAnsi="Times New Roman"/>
                <w:szCs w:val="21"/>
                <w:vertAlign w:val="superscript"/>
              </w:rPr>
            </w:pPr>
            <w:r>
              <w:rPr>
                <w:rFonts w:hint="eastAsia" w:ascii="Times New Roman" w:hAnsi="Times New Roman"/>
                <w:szCs w:val="21"/>
              </w:rPr>
              <w:t>羊毛：90%纯羊毛，10%尼龙，纱织，75D*150D，密度190T克，中：450g/m</w:t>
            </w:r>
            <w:r>
              <w:rPr>
                <w:rFonts w:hint="eastAsia" w:ascii="Times New Roman" w:hAnsi="Times New Roman"/>
                <w:szCs w:val="21"/>
                <w:vertAlign w:val="superscript"/>
              </w:rPr>
              <w:t>2</w:t>
            </w:r>
          </w:p>
        </w:tc>
        <w:tc>
          <w:tcPr>
            <w:tcW w:w="1020" w:type="dxa"/>
            <w:vAlign w:val="center"/>
          </w:tcPr>
          <w:p>
            <w:pPr>
              <w:jc w:val="center"/>
              <w:rPr>
                <w:rFonts w:ascii="Times New Roman" w:hAnsi="Times New Roman"/>
                <w:szCs w:val="24"/>
              </w:rPr>
            </w:pPr>
            <w:r>
              <w:rPr>
                <w:rFonts w:hint="eastAsia" w:ascii="Times New Roman" w:hAnsi="Times New Roman"/>
                <w:szCs w:val="24"/>
              </w:rPr>
              <w:t>2台</w:t>
            </w:r>
          </w:p>
        </w:tc>
        <w:tc>
          <w:tcPr>
            <w:tcW w:w="1170" w:type="dxa"/>
            <w:vAlign w:val="center"/>
          </w:tcPr>
          <w:p>
            <w:pPr>
              <w:jc w:val="center"/>
              <w:rPr>
                <w:rFonts w:ascii="Times New Roman" w:hAnsi="Times New Roman"/>
                <w:szCs w:val="24"/>
              </w:rPr>
            </w:pPr>
            <w:r>
              <w:rPr>
                <w:rFonts w:hint="eastAsia" w:ascii="Times New Roman" w:hAnsi="Times New Roman"/>
                <w:szCs w:val="24"/>
              </w:rPr>
              <w:t>135</w:t>
            </w:r>
            <w:r>
              <w:rPr>
                <w:rFonts w:hint="eastAsia" w:ascii="Times New Roman" w:hAnsi="Times New Roman"/>
                <w:szCs w:val="24"/>
                <w:lang w:val="en-US" w:eastAsia="zh-CN"/>
              </w:rPr>
              <w:t>0</w:t>
            </w:r>
          </w:p>
        </w:tc>
        <w:tc>
          <w:tcPr>
            <w:tcW w:w="1530" w:type="dxa"/>
            <w:vAlign w:val="center"/>
          </w:tcPr>
          <w:p>
            <w:pPr>
              <w:jc w:val="center"/>
              <w:rPr>
                <w:rFonts w:ascii="Times New Roman" w:hAnsi="Times New Roman"/>
                <w:szCs w:val="24"/>
              </w:rPr>
            </w:pPr>
            <w:r>
              <w:rPr>
                <w:rFonts w:hint="eastAsia" w:ascii="Times New Roman" w:hAnsi="Times New Roman"/>
                <w:szCs w:val="24"/>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428" w:type="dxa"/>
            <w:vAlign w:val="center"/>
          </w:tcPr>
          <w:p>
            <w:pPr>
              <w:jc w:val="center"/>
              <w:rPr>
                <w:rFonts w:hint="eastAsia" w:ascii="Times New Roman" w:hAnsi="Times New Roman"/>
                <w:szCs w:val="24"/>
              </w:rPr>
            </w:pPr>
          </w:p>
        </w:tc>
        <w:tc>
          <w:tcPr>
            <w:tcW w:w="1800" w:type="dxa"/>
            <w:vAlign w:val="center"/>
          </w:tcPr>
          <w:p>
            <w:pPr>
              <w:spacing w:line="240" w:lineRule="exact"/>
              <w:jc w:val="left"/>
              <w:rPr>
                <w:rFonts w:hint="eastAsia" w:ascii="Times New Roman" w:hAnsi="Times New Roman"/>
                <w:szCs w:val="24"/>
              </w:rPr>
            </w:pPr>
          </w:p>
        </w:tc>
        <w:tc>
          <w:tcPr>
            <w:tcW w:w="6285" w:type="dxa"/>
            <w:vAlign w:val="center"/>
          </w:tcPr>
          <w:p>
            <w:pPr>
              <w:spacing w:line="240" w:lineRule="exact"/>
              <w:jc w:val="center"/>
              <w:rPr>
                <w:rFonts w:hint="eastAsia" w:ascii="Times New Roman" w:hAnsi="Times New Roman"/>
                <w:szCs w:val="21"/>
              </w:rPr>
            </w:pPr>
          </w:p>
        </w:tc>
        <w:tc>
          <w:tcPr>
            <w:tcW w:w="1020" w:type="dxa"/>
            <w:vAlign w:val="center"/>
          </w:tcPr>
          <w:p>
            <w:pPr>
              <w:jc w:val="center"/>
              <w:rPr>
                <w:rFonts w:hint="eastAsia" w:ascii="Times New Roman" w:hAnsi="Times New Roman"/>
                <w:szCs w:val="24"/>
              </w:rPr>
            </w:pPr>
          </w:p>
        </w:tc>
        <w:tc>
          <w:tcPr>
            <w:tcW w:w="1170" w:type="dxa"/>
            <w:vAlign w:val="center"/>
          </w:tcPr>
          <w:p>
            <w:pPr>
              <w:jc w:val="center"/>
              <w:rPr>
                <w:rFonts w:hint="eastAsia" w:ascii="Times New Roman" w:hAnsi="Times New Roman" w:eastAsiaTheme="minorEastAsia"/>
                <w:szCs w:val="24"/>
                <w:lang w:eastAsia="zh-CN"/>
              </w:rPr>
            </w:pPr>
            <w:r>
              <w:rPr>
                <w:rFonts w:hint="eastAsia" w:ascii="Times New Roman" w:hAnsi="Times New Roman"/>
                <w:szCs w:val="24"/>
                <w:lang w:eastAsia="zh-CN"/>
              </w:rPr>
              <w:t>合计</w:t>
            </w:r>
          </w:p>
        </w:tc>
        <w:tc>
          <w:tcPr>
            <w:tcW w:w="1530" w:type="dxa"/>
            <w:vAlign w:val="center"/>
          </w:tcPr>
          <w:p>
            <w:pPr>
              <w:jc w:val="center"/>
              <w:rPr>
                <w:rFonts w:hint="eastAsia" w:ascii="Times New Roman" w:hAnsi="Times New Roman" w:eastAsiaTheme="minorEastAsia"/>
                <w:szCs w:val="24"/>
                <w:lang w:val="en-US" w:eastAsia="zh-CN"/>
              </w:rPr>
            </w:pPr>
            <w:r>
              <w:rPr>
                <w:rFonts w:hint="eastAsia" w:ascii="Times New Roman" w:hAnsi="Times New Roman"/>
                <w:szCs w:val="24"/>
                <w:lang w:val="en-US" w:eastAsia="zh-CN"/>
              </w:rPr>
              <w:t>71900</w:t>
            </w:r>
          </w:p>
        </w:tc>
      </w:tr>
    </w:tbl>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left="0" w:right="0" w:firstLine="0"/>
        <w:jc w:val="center"/>
        <w:textAlignment w:val="baseline"/>
        <w:rPr>
          <w:rFonts w:hint="eastAsia" w:ascii="宋体" w:hAnsi="宋体" w:eastAsia="宋体" w:cs="宋体"/>
          <w:i w:val="0"/>
          <w:caps w:val="0"/>
          <w:color w:val="000000"/>
          <w:spacing w:val="0"/>
          <w:sz w:val="28"/>
          <w:szCs w:val="28"/>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cs="宋体"/>
          <w:i w:val="0"/>
          <w:caps w:val="0"/>
          <w:color w:val="000000"/>
          <w:spacing w:val="0"/>
          <w:sz w:val="28"/>
          <w:szCs w:val="28"/>
          <w:vertAlign w:val="baseline"/>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60" w:beforeAutospacing="0" w:after="260" w:afterAutospacing="0" w:line="360" w:lineRule="atLeast"/>
        <w:ind w:right="0"/>
        <w:jc w:val="left"/>
        <w:textAlignment w:val="baseline"/>
        <w:rPr>
          <w:rFonts w:hint="eastAsia" w:ascii="宋体" w:hAnsi="宋体" w:eastAsia="宋体" w:cs="宋体"/>
          <w:i w:val="0"/>
          <w:caps w:val="0"/>
          <w:color w:val="000000"/>
          <w:spacing w:val="0"/>
          <w:sz w:val="28"/>
          <w:szCs w:val="28"/>
          <w:vertAlign w:val="baseline"/>
          <w:lang w:val="en-US"/>
        </w:rPr>
      </w:pPr>
      <w:r>
        <w:rPr>
          <w:rFonts w:hint="eastAsia" w:cs="宋体"/>
          <w:i w:val="0"/>
          <w:caps w:val="0"/>
          <w:color w:val="000000"/>
          <w:spacing w:val="0"/>
          <w:sz w:val="28"/>
          <w:szCs w:val="28"/>
          <w:vertAlign w:val="baseline"/>
          <w:lang w:eastAsia="zh-CN"/>
        </w:rPr>
        <w:t>附件</w:t>
      </w:r>
      <w:r>
        <w:rPr>
          <w:rFonts w:hint="eastAsia" w:cs="宋体"/>
          <w:i w:val="0"/>
          <w:caps w:val="0"/>
          <w:color w:val="000000"/>
          <w:spacing w:val="0"/>
          <w:sz w:val="28"/>
          <w:szCs w:val="28"/>
          <w:vertAlign w:val="baseline"/>
          <w:lang w:val="en-US" w:eastAsia="zh-CN"/>
        </w:rPr>
        <w:t xml:space="preserve">2                                </w:t>
      </w:r>
      <w:r>
        <w:rPr>
          <w:rFonts w:hint="eastAsia" w:ascii="宋体" w:hAnsi="宋体" w:eastAsia="宋体" w:cs="宋体"/>
          <w:i w:val="0"/>
          <w:caps w:val="0"/>
          <w:color w:val="000000"/>
          <w:spacing w:val="0"/>
          <w:sz w:val="28"/>
          <w:szCs w:val="28"/>
          <w:vertAlign w:val="baseline"/>
        </w:rPr>
        <w:t>规格响应表</w:t>
      </w:r>
      <w:bookmarkEnd w:id="0"/>
      <w:r>
        <w:rPr>
          <w:rFonts w:hint="eastAsia" w:cs="宋体"/>
          <w:i w:val="0"/>
          <w:caps w:val="0"/>
          <w:color w:val="000000"/>
          <w:spacing w:val="0"/>
          <w:sz w:val="28"/>
          <w:szCs w:val="28"/>
          <w:vertAlign w:val="baseline"/>
          <w:lang w:val="en-US" w:eastAsia="zh-CN"/>
        </w:rPr>
        <w:t xml:space="preserve"> </w:t>
      </w:r>
    </w:p>
    <w:tbl>
      <w:tblPr>
        <w:tblStyle w:val="10"/>
        <w:tblpPr w:leftFromText="180" w:rightFromText="180" w:vertAnchor="text" w:horzAnchor="page" w:tblpX="683" w:tblpY="246"/>
        <w:tblOverlap w:val="never"/>
        <w:tblW w:w="158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
        <w:gridCol w:w="1550"/>
        <w:gridCol w:w="9300"/>
        <w:gridCol w:w="2387"/>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0" w:type="dxa"/>
            <w:vAlign w:val="center"/>
          </w:tcPr>
          <w:p>
            <w:pPr>
              <w:spacing w:line="240" w:lineRule="atLeast"/>
              <w:jc w:val="center"/>
              <w:rPr>
                <w:szCs w:val="24"/>
              </w:rPr>
            </w:pPr>
            <w:r>
              <w:rPr>
                <w:rFonts w:hint="eastAsia"/>
                <w:szCs w:val="24"/>
              </w:rPr>
              <w:t>序号</w:t>
            </w:r>
          </w:p>
        </w:tc>
        <w:tc>
          <w:tcPr>
            <w:tcW w:w="1550" w:type="dxa"/>
            <w:vAlign w:val="center"/>
          </w:tcPr>
          <w:p>
            <w:pPr>
              <w:spacing w:line="240" w:lineRule="atLeast"/>
              <w:jc w:val="center"/>
              <w:rPr>
                <w:rFonts w:hint="eastAsia" w:eastAsia="宋体"/>
                <w:szCs w:val="24"/>
                <w:lang w:eastAsia="zh-CN"/>
              </w:rPr>
            </w:pPr>
            <w:r>
              <w:rPr>
                <w:rFonts w:hint="eastAsia"/>
                <w:szCs w:val="24"/>
                <w:lang w:eastAsia="zh-CN"/>
              </w:rPr>
              <w:t>询价项目名称</w:t>
            </w:r>
          </w:p>
        </w:tc>
        <w:tc>
          <w:tcPr>
            <w:tcW w:w="9300" w:type="dxa"/>
            <w:vAlign w:val="center"/>
          </w:tcPr>
          <w:p>
            <w:pPr>
              <w:spacing w:line="240" w:lineRule="atLeast"/>
              <w:jc w:val="center"/>
              <w:rPr>
                <w:szCs w:val="24"/>
              </w:rPr>
            </w:pPr>
            <w:r>
              <w:rPr>
                <w:rFonts w:hint="eastAsia" w:ascii="宋体" w:hAnsi="宋体" w:eastAsia="宋体" w:cs="宋体"/>
                <w:b w:val="0"/>
                <w:i w:val="0"/>
                <w:caps w:val="0"/>
                <w:color w:val="000000"/>
                <w:spacing w:val="0"/>
                <w:sz w:val="24"/>
                <w:szCs w:val="24"/>
              </w:rPr>
              <w:t>询价采购文件规定的规格、参数</w:t>
            </w:r>
          </w:p>
        </w:tc>
        <w:tc>
          <w:tcPr>
            <w:tcW w:w="2387" w:type="dxa"/>
            <w:vAlign w:val="center"/>
          </w:tcPr>
          <w:p>
            <w:pPr>
              <w:spacing w:line="240" w:lineRule="atLeast"/>
              <w:jc w:val="center"/>
              <w:rPr>
                <w:rFonts w:hint="eastAsia" w:eastAsia="宋体"/>
                <w:szCs w:val="24"/>
                <w:lang w:eastAsia="zh-CN"/>
              </w:rPr>
            </w:pPr>
            <w:r>
              <w:rPr>
                <w:rFonts w:hint="eastAsia" w:ascii="宋体" w:hAnsi="宋体" w:eastAsia="宋体" w:cs="宋体"/>
                <w:b w:val="0"/>
                <w:i w:val="0"/>
                <w:caps w:val="0"/>
                <w:color w:val="000000"/>
                <w:spacing w:val="0"/>
                <w:sz w:val="24"/>
                <w:szCs w:val="24"/>
              </w:rPr>
              <w:t>供应商所投产品的规格、参数</w:t>
            </w:r>
          </w:p>
        </w:tc>
        <w:tc>
          <w:tcPr>
            <w:tcW w:w="2098" w:type="dxa"/>
            <w:vAlign w:val="center"/>
          </w:tcPr>
          <w:p>
            <w:pPr>
              <w:spacing w:line="240" w:lineRule="atLeast"/>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rPr>
              <w:t>响应情况</w:t>
            </w:r>
          </w:p>
          <w:p>
            <w:pPr>
              <w:spacing w:line="240" w:lineRule="atLeast"/>
              <w:jc w:val="center"/>
              <w:rPr>
                <w:rFonts w:hint="eastAsia" w:eastAsia="宋体"/>
                <w:szCs w:val="24"/>
                <w:lang w:eastAsia="zh-CN"/>
              </w:rPr>
            </w:pPr>
            <w:r>
              <w:rPr>
                <w:rFonts w:hint="eastAsia"/>
                <w:szCs w:val="24"/>
                <w:lang w:eastAsia="zh-CN"/>
              </w:rPr>
              <w:t>（正偏离、无偏离、负偏离）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931" w:hRule="atLeast"/>
        </w:trPr>
        <w:tc>
          <w:tcPr>
            <w:tcW w:w="490" w:type="dxa"/>
            <w:shd w:val="clear" w:color="auto" w:fill="auto"/>
            <w:vAlign w:val="center"/>
          </w:tcPr>
          <w:p>
            <w:pPr>
              <w:spacing w:line="240" w:lineRule="atLeast"/>
              <w:jc w:val="both"/>
              <w:rPr>
                <w:szCs w:val="24"/>
              </w:rPr>
            </w:pPr>
            <w:r>
              <w:rPr>
                <w:rFonts w:hint="eastAsia"/>
                <w:szCs w:val="24"/>
              </w:rPr>
              <w:t>1</w:t>
            </w:r>
          </w:p>
        </w:tc>
        <w:tc>
          <w:tcPr>
            <w:tcW w:w="1550" w:type="dxa"/>
            <w:shd w:val="clear" w:color="auto" w:fill="FFFFFF"/>
            <w:vAlign w:val="center"/>
          </w:tcPr>
          <w:p>
            <w:pPr>
              <w:spacing w:line="240" w:lineRule="exact"/>
              <w:jc w:val="left"/>
              <w:rPr>
                <w:szCs w:val="24"/>
              </w:rPr>
            </w:pPr>
            <w:r>
              <w:rPr>
                <w:rFonts w:hint="eastAsia" w:ascii="Times New Roman" w:hAnsi="Times New Roman"/>
                <w:szCs w:val="24"/>
              </w:rPr>
              <w:t>明湖二楼地胶</w:t>
            </w:r>
          </w:p>
        </w:tc>
        <w:tc>
          <w:tcPr>
            <w:tcW w:w="9300" w:type="dxa"/>
            <w:vAlign w:val="center"/>
          </w:tcPr>
          <w:p>
            <w:pPr>
              <w:spacing w:line="360" w:lineRule="exact"/>
              <w:ind w:firstLine="420" w:firstLineChars="200"/>
              <w:rPr>
                <w:rFonts w:hint="eastAsia" w:ascii="宋体" w:hAnsi="宋体"/>
                <w:sz w:val="21"/>
                <w:szCs w:val="21"/>
              </w:rPr>
            </w:pPr>
            <w:r>
              <w:rPr>
                <w:rFonts w:hint="eastAsia"/>
                <w:color w:val="000000"/>
                <w:sz w:val="21"/>
                <w:szCs w:val="21"/>
              </w:rPr>
              <w:t>宽度1.8米厚度4.5mm 灰色宝石纹</w:t>
            </w:r>
            <w:r>
              <w:rPr>
                <w:rFonts w:hint="eastAsia"/>
                <w:sz w:val="21"/>
                <w:szCs w:val="21"/>
              </w:rPr>
              <w:t>PVC地胶</w:t>
            </w:r>
            <w:r>
              <w:rPr>
                <w:rFonts w:hint="eastAsia" w:ascii="宋体" w:hAnsi="宋体"/>
                <w:sz w:val="21"/>
                <w:szCs w:val="21"/>
              </w:rPr>
              <w:t>宝石纹产品表层，更为均匀、细腻与莹亮，可承受不同方向与力度的耐磨力。100%纯PVC优质原料，科学的原料配比从本质上保证了产品各项性能参数的稳定，无论是回弹率、摩擦系数还是能量返还等保证在最佳的水平玻纤无纺布+双向聚酯网格稳定层的打造，可有效防止地板收缩，延长地板的使用寿命。</w:t>
            </w:r>
          </w:p>
          <w:p>
            <w:pPr>
              <w:spacing w:line="360" w:lineRule="exact"/>
              <w:ind w:firstLine="420" w:firstLineChars="200"/>
              <w:rPr>
                <w:rFonts w:hint="eastAsia" w:ascii="宋体" w:hAnsi="宋体"/>
                <w:sz w:val="21"/>
                <w:szCs w:val="21"/>
              </w:rPr>
            </w:pPr>
            <w:r>
              <w:rPr>
                <w:rFonts w:hint="eastAsia" w:ascii="宋体" w:hAnsi="宋体"/>
                <w:sz w:val="21"/>
                <w:szCs w:val="21"/>
              </w:rPr>
              <w:t>产品的发泡层使用高密度共聚物，结合底部吸附式技术，有效增强对地板的附着力，震动吸收率可达57%以上，有效地缓解</w:t>
            </w:r>
            <w:bookmarkStart w:id="1" w:name="_GoBack"/>
            <w:bookmarkEnd w:id="1"/>
            <w:r>
              <w:rPr>
                <w:rFonts w:hint="eastAsia" w:ascii="宋体" w:hAnsi="宋体"/>
                <w:sz w:val="21"/>
                <w:szCs w:val="21"/>
              </w:rPr>
              <w:t>了运动冲力对膝、踝等关节的冲击。同时柔和的宝石状表面纹路更有利于场地的清洁，更能有效的分散球场灯光的聚点，不会对打球者的视力造成困扰。</w:t>
            </w:r>
          </w:p>
          <w:p>
            <w:pPr>
              <w:spacing w:line="360" w:lineRule="exact"/>
              <w:rPr>
                <w:rFonts w:hint="eastAsia" w:ascii="宋体" w:hAnsi="宋体"/>
                <w:sz w:val="21"/>
                <w:szCs w:val="21"/>
                <w:lang w:val="en-US" w:eastAsia="zh-CN"/>
              </w:rPr>
            </w:pPr>
            <w:r>
              <w:rPr>
                <w:rFonts w:hint="eastAsia"/>
              </w:rPr>
              <w:t>提供的货物必须符合国家相关安全、环保标准、行业标准。</w:t>
            </w: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1" w:hRule="atLeast"/>
        </w:trPr>
        <w:tc>
          <w:tcPr>
            <w:tcW w:w="490" w:type="dxa"/>
            <w:shd w:val="clear" w:color="auto" w:fill="auto"/>
            <w:vAlign w:val="center"/>
          </w:tcPr>
          <w:p>
            <w:pPr>
              <w:spacing w:line="240" w:lineRule="atLeast"/>
              <w:jc w:val="both"/>
              <w:rPr>
                <w:rFonts w:hint="eastAsia" w:eastAsiaTheme="minorEastAsia"/>
                <w:szCs w:val="24"/>
                <w:lang w:val="en-US" w:eastAsia="zh-CN"/>
              </w:rPr>
            </w:pPr>
            <w:r>
              <w:rPr>
                <w:rFonts w:hint="eastAsia"/>
                <w:szCs w:val="24"/>
                <w:lang w:val="en-US" w:eastAsia="zh-CN"/>
              </w:rPr>
              <w:t>2</w:t>
            </w:r>
          </w:p>
        </w:tc>
        <w:tc>
          <w:tcPr>
            <w:tcW w:w="1550" w:type="dxa"/>
            <w:shd w:val="clear" w:color="auto" w:fill="FFFFFF"/>
            <w:vAlign w:val="center"/>
          </w:tcPr>
          <w:p>
            <w:pPr>
              <w:spacing w:line="240" w:lineRule="exact"/>
              <w:jc w:val="left"/>
              <w:rPr>
                <w:szCs w:val="24"/>
              </w:rPr>
            </w:pPr>
            <w:r>
              <w:rPr>
                <w:rFonts w:hint="eastAsia" w:ascii="Times New Roman" w:hAnsi="Times New Roman"/>
                <w:szCs w:val="24"/>
              </w:rPr>
              <w:t>台球桌拆装（提供球袋、桌布并更换）</w:t>
            </w:r>
          </w:p>
        </w:tc>
        <w:tc>
          <w:tcPr>
            <w:tcW w:w="9300" w:type="dxa"/>
            <w:vAlign w:val="center"/>
          </w:tcPr>
          <w:p>
            <w:pPr>
              <w:spacing w:line="240" w:lineRule="exact"/>
              <w:jc w:val="both"/>
              <w:rPr>
                <w:rFonts w:hint="eastAsia" w:ascii="Times New Roman" w:hAnsi="Times New Roman"/>
                <w:szCs w:val="21"/>
                <w:vertAlign w:val="superscript"/>
                <w:lang w:val="en-US" w:eastAsia="zh-CN"/>
              </w:rPr>
            </w:pPr>
            <w:r>
              <w:rPr>
                <w:rFonts w:hint="eastAsia" w:ascii="Times New Roman" w:hAnsi="Times New Roman"/>
                <w:szCs w:val="21"/>
              </w:rPr>
              <w:t>羊毛：90%纯羊毛，10%尼龙，纱织，75D*150D，密度190T克，中：450g/m</w:t>
            </w:r>
            <w:r>
              <w:rPr>
                <w:rFonts w:hint="eastAsia" w:ascii="Times New Roman" w:hAnsi="Times New Roman"/>
                <w:szCs w:val="21"/>
                <w:vertAlign w:val="superscript"/>
              </w:rPr>
              <w:t>2</w:t>
            </w:r>
          </w:p>
        </w:tc>
        <w:tc>
          <w:tcPr>
            <w:tcW w:w="2387" w:type="dxa"/>
            <w:vAlign w:val="center"/>
          </w:tcPr>
          <w:p>
            <w:pPr>
              <w:spacing w:line="240" w:lineRule="atLeast"/>
              <w:jc w:val="center"/>
              <w:rPr>
                <w:rFonts w:hint="eastAsia"/>
                <w:szCs w:val="24"/>
              </w:rPr>
            </w:pPr>
          </w:p>
        </w:tc>
        <w:tc>
          <w:tcPr>
            <w:tcW w:w="2098" w:type="dxa"/>
            <w:vAlign w:val="center"/>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widowControl/>
              <w:spacing w:line="240" w:lineRule="atLeast"/>
              <w:jc w:val="left"/>
              <w:textAlignment w:val="center"/>
              <w:rPr>
                <w:rFonts w:hint="eastAsia"/>
                <w:b/>
                <w:bCs/>
                <w:szCs w:val="21"/>
              </w:rPr>
            </w:pPr>
            <w:r>
              <w:rPr>
                <w:rFonts w:hint="eastAsia"/>
                <w:b/>
                <w:bCs/>
                <w:szCs w:val="21"/>
              </w:rPr>
              <w:t>售后服务</w:t>
            </w:r>
          </w:p>
        </w:tc>
        <w:tc>
          <w:tcPr>
            <w:tcW w:w="9300" w:type="dxa"/>
            <w:vAlign w:val="top"/>
          </w:tcPr>
          <w:p>
            <w:pPr>
              <w:numPr>
                <w:ilvl w:val="0"/>
                <w:numId w:val="0"/>
              </w:numPr>
              <w:ind w:leftChars="0"/>
              <w:rPr>
                <w:rFonts w:hint="eastAsia" w:ascii="Times New Roman" w:hAnsi="Times New Roman"/>
                <w:sz w:val="21"/>
                <w:szCs w:val="21"/>
                <w:lang w:eastAsia="zh-CN"/>
              </w:rPr>
            </w:pPr>
            <w:r>
              <w:rPr>
                <w:rFonts w:hint="eastAsia" w:ascii="Times New Roman" w:hAnsi="Times New Roman" w:eastAsia="宋体" w:cs="宋体"/>
                <w:kern w:val="2"/>
                <w:sz w:val="21"/>
                <w:szCs w:val="21"/>
                <w:lang w:val="en-US" w:eastAsia="zh-CN" w:bidi="ar"/>
              </w:rPr>
              <w:t>1</w:t>
            </w:r>
            <w:r>
              <w:rPr>
                <w:rFonts w:hint="eastAsia" w:ascii="宋体" w:hAnsi="宋体" w:eastAsia="宋体" w:cs="宋体"/>
                <w:kern w:val="2"/>
                <w:sz w:val="21"/>
                <w:szCs w:val="21"/>
                <w:lang w:val="en-US" w:eastAsia="zh-CN" w:bidi="ar"/>
              </w:rPr>
              <w:t>.免费提供上门安装和培训服务，</w:t>
            </w:r>
            <w:r>
              <w:rPr>
                <w:rFonts w:hint="eastAsia" w:ascii="Calibri" w:hAnsi="Calibri" w:eastAsia="宋体" w:cs="宋体"/>
                <w:kern w:val="2"/>
                <w:sz w:val="21"/>
                <w:szCs w:val="21"/>
                <w:lang w:val="en-US" w:eastAsia="zh-CN" w:bidi="ar"/>
              </w:rPr>
              <w:t>2</w:t>
            </w:r>
            <w:r>
              <w:rPr>
                <w:rFonts w:hint="eastAsia" w:ascii="宋体" w:hAnsi="宋体" w:eastAsia="宋体" w:cs="宋体"/>
                <w:kern w:val="2"/>
                <w:sz w:val="21"/>
                <w:szCs w:val="21"/>
                <w:lang w:val="en-US" w:eastAsia="zh-CN" w:bidi="ar"/>
              </w:rPr>
              <w:t>.</w:t>
            </w:r>
            <w:r>
              <w:rPr>
                <w:rFonts w:hint="eastAsia"/>
              </w:rPr>
              <w:t>保质期5年，在保质期内供应商免费上门定期维护、保养、维修，半年为维护期，损坏及时更换。</w:t>
            </w:r>
            <w:r>
              <w:rPr>
                <w:rFonts w:hint="eastAsia" w:ascii="Calibri" w:hAnsi="Calibri" w:eastAsia="宋体" w:cs="宋体"/>
                <w:kern w:val="2"/>
                <w:sz w:val="21"/>
                <w:szCs w:val="21"/>
                <w:lang w:val="en-US" w:eastAsia="zh-CN" w:bidi="ar"/>
              </w:rPr>
              <w:t>3</w:t>
            </w:r>
            <w:r>
              <w:rPr>
                <w:rFonts w:hint="eastAsia" w:eastAsia="宋体" w:cs="宋体"/>
                <w:kern w:val="2"/>
                <w:sz w:val="21"/>
                <w:szCs w:val="21"/>
                <w:lang w:val="en-US" w:eastAsia="zh-CN" w:bidi="ar"/>
              </w:rPr>
              <w:t>.</w:t>
            </w:r>
            <w:r>
              <w:rPr>
                <w:rFonts w:hint="eastAsia" w:ascii="宋体" w:hAnsi="宋体" w:eastAsia="宋体" w:cs="宋体"/>
                <w:kern w:val="2"/>
                <w:sz w:val="21"/>
                <w:szCs w:val="21"/>
                <w:lang w:val="en-US" w:eastAsia="zh-CN" w:bidi="ar"/>
              </w:rPr>
              <w:t>供货时间：合同签订之日起15日内。</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490" w:type="dxa"/>
            <w:shd w:val="clear" w:color="auto" w:fill="auto"/>
            <w:vAlign w:val="top"/>
          </w:tcPr>
          <w:p>
            <w:pPr>
              <w:spacing w:line="240" w:lineRule="atLeast"/>
              <w:jc w:val="center"/>
              <w:rPr>
                <w:rFonts w:hint="eastAsia"/>
                <w:szCs w:val="24"/>
              </w:rPr>
            </w:pPr>
          </w:p>
        </w:tc>
        <w:tc>
          <w:tcPr>
            <w:tcW w:w="1550" w:type="dxa"/>
            <w:shd w:val="clear" w:color="auto" w:fill="FFFFFF"/>
            <w:vAlign w:val="center"/>
          </w:tcPr>
          <w:p>
            <w:pPr>
              <w:widowControl/>
              <w:spacing w:line="240" w:lineRule="atLeast"/>
              <w:jc w:val="left"/>
              <w:textAlignment w:val="center"/>
              <w:rPr>
                <w:rFonts w:hint="eastAsia"/>
                <w:b/>
                <w:bCs/>
                <w:szCs w:val="21"/>
              </w:rPr>
            </w:pPr>
            <w:r>
              <w:rPr>
                <w:rFonts w:hint="eastAsia"/>
                <w:b/>
                <w:bCs/>
                <w:szCs w:val="21"/>
                <w:lang w:eastAsia="zh-CN"/>
              </w:rPr>
              <w:t>付款方式说明</w:t>
            </w:r>
          </w:p>
        </w:tc>
        <w:tc>
          <w:tcPr>
            <w:tcW w:w="9300" w:type="dxa"/>
            <w:vAlign w:val="top"/>
          </w:tcPr>
          <w:p>
            <w:pPr>
              <w:pStyle w:val="16"/>
              <w:tabs>
                <w:tab w:val="left" w:pos="3438"/>
              </w:tabs>
              <w:adjustRightInd w:val="0"/>
              <w:snapToGrid w:val="0"/>
              <w:spacing w:line="400" w:lineRule="exact"/>
              <w:outlineLvl w:val="9"/>
              <w:rPr>
                <w:rFonts w:hint="eastAsia" w:ascii="宋体" w:hAnsi="宋体" w:eastAsia="宋体" w:cs="宋体"/>
                <w:kern w:val="2"/>
                <w:sz w:val="21"/>
                <w:szCs w:val="21"/>
                <w:lang w:val="en-US" w:eastAsia="zh-CN" w:bidi="ar"/>
              </w:rPr>
            </w:pPr>
            <w:r>
              <w:rPr>
                <w:rFonts w:hint="eastAsia" w:hAnsi="宋体" w:eastAsia="宋体" w:cs="宋体"/>
                <w:b/>
                <w:bCs/>
                <w:color w:val="000000"/>
                <w:kern w:val="2"/>
                <w:sz w:val="24"/>
                <w:szCs w:val="24"/>
                <w:lang w:val="en-US" w:eastAsia="zh-CN" w:bidi="ar"/>
              </w:rPr>
              <w:t>合同货款：</w:t>
            </w:r>
            <w:r>
              <w:rPr>
                <w:rFonts w:hint="eastAsia" w:ascii="宋体" w:hAnsi="宋体" w:eastAsia="宋体" w:cs="宋体"/>
                <w:color w:val="000000"/>
                <w:kern w:val="2"/>
                <w:sz w:val="24"/>
                <w:szCs w:val="24"/>
                <w:lang w:val="en-US" w:eastAsia="zh-CN" w:bidi="ar"/>
              </w:rPr>
              <w:t>送</w:t>
            </w:r>
            <w:r>
              <w:rPr>
                <w:rFonts w:hint="eastAsia" w:ascii="宋体" w:hAnsi="宋体" w:eastAsia="宋体" w:cs="宋体"/>
                <w:kern w:val="2"/>
                <w:sz w:val="21"/>
                <w:szCs w:val="21"/>
                <w:lang w:val="en-US" w:eastAsia="zh-CN" w:bidi="ar"/>
              </w:rPr>
              <w:t>货并安装完毕及验收合格后，中标人须向采购人提供全额正规含税发票，采购人通过银行转账方式付清全款。</w:t>
            </w:r>
          </w:p>
          <w:p>
            <w:pPr>
              <w:numPr>
                <w:ilvl w:val="0"/>
                <w:numId w:val="0"/>
              </w:numPr>
              <w:rPr>
                <w:rFonts w:hint="eastAsia" w:ascii="宋体" w:hAnsi="宋体" w:eastAsia="宋体" w:cs="宋体"/>
                <w:kern w:val="2"/>
                <w:sz w:val="21"/>
                <w:szCs w:val="21"/>
                <w:lang w:val="en-US" w:eastAsia="zh-CN" w:bidi="ar"/>
              </w:rPr>
            </w:pPr>
            <w:r>
              <w:rPr>
                <w:rFonts w:hint="eastAsia" w:ascii="宋体" w:hAnsi="宋体" w:eastAsia="宋体" w:cs="宋体"/>
                <w:b/>
                <w:color w:val="000000"/>
                <w:kern w:val="2"/>
                <w:sz w:val="24"/>
                <w:szCs w:val="24"/>
                <w:lang w:val="en-US" w:eastAsia="zh-CN" w:bidi="ar"/>
              </w:rPr>
              <w:t>履约保证金：</w:t>
            </w:r>
            <w:r>
              <w:rPr>
                <w:rFonts w:hint="eastAsia" w:ascii="宋体" w:hAnsi="宋体" w:eastAsia="宋体" w:cs="宋体"/>
                <w:kern w:val="2"/>
                <w:sz w:val="21"/>
                <w:szCs w:val="21"/>
                <w:lang w:val="en-US" w:eastAsia="zh-CN" w:bidi="ar"/>
              </w:rPr>
              <w:t>是否收取履约保证金：是。履约保证金百分比：5%。说明：中标人在签订政府采购合同三日前应向采购人缴纳合同总金额5%的履约保证金，该履约保证金于设备验收合格后自动转为质量保证金；验收合格之日起至免费质保期满，中标人无违约行为且设备无质量问题，中标人向采购人提交退还质量保证金申请报告及收据后，采购人于30日内无息对公转账至合同标明的中标人银行账户。履约保证金缴交方式：银行转账,户名：福建卫生职业技术学院,账号：35001896307050001329.开户行：中国建设银行股份有限公司福州鼓楼支行。</w:t>
            </w:r>
          </w:p>
        </w:tc>
        <w:tc>
          <w:tcPr>
            <w:tcW w:w="2387" w:type="dxa"/>
            <w:vAlign w:val="top"/>
          </w:tcPr>
          <w:p>
            <w:pPr>
              <w:spacing w:line="240" w:lineRule="atLeast"/>
              <w:jc w:val="center"/>
              <w:rPr>
                <w:rFonts w:hint="eastAsia"/>
                <w:szCs w:val="24"/>
              </w:rPr>
            </w:pPr>
          </w:p>
        </w:tc>
        <w:tc>
          <w:tcPr>
            <w:tcW w:w="2098" w:type="dxa"/>
            <w:vAlign w:val="top"/>
          </w:tcPr>
          <w:p>
            <w:pPr>
              <w:spacing w:line="240" w:lineRule="atLeast"/>
              <w:jc w:val="center"/>
              <w:rPr>
                <w:rFonts w:hint="eastAsia"/>
                <w:szCs w:val="24"/>
              </w:rPr>
            </w:pPr>
          </w:p>
        </w:tc>
      </w:tr>
    </w:tbl>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《规格响应表》填写须知：</w:t>
      </w:r>
    </w:p>
    <w:p>
      <w:pPr>
        <w:spacing w:line="240" w:lineRule="atLeast"/>
        <w:ind w:firstLine="480" w:firstLineChars="200"/>
        <w:jc w:val="left"/>
        <w:rPr>
          <w:rFonts w:hint="eastAsia" w:ascii="宋体" w:hAnsi="宋体" w:eastAsia="宋体" w:cs="宋体"/>
          <w:b w:val="0"/>
          <w:i w:val="0"/>
          <w:caps w:val="0"/>
          <w:color w:val="000000"/>
          <w:spacing w:val="0"/>
          <w:sz w:val="24"/>
          <w:szCs w:val="24"/>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1、供货商必须将自己所投产品或服务真实、准确填写“</w:t>
      </w:r>
      <w:r>
        <w:rPr>
          <w:rFonts w:hint="eastAsia" w:ascii="宋体" w:hAnsi="宋体" w:eastAsia="宋体" w:cs="宋体"/>
          <w:b w:val="0"/>
          <w:i w:val="0"/>
          <w:caps w:val="0"/>
          <w:color w:val="000000"/>
          <w:spacing w:val="0"/>
          <w:sz w:val="24"/>
          <w:szCs w:val="24"/>
        </w:rPr>
        <w:t>供应商所投产品的规格、参数</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rPr>
        <w:t>响应情况</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w:t>
      </w:r>
    </w:p>
    <w:p>
      <w:pPr>
        <w:spacing w:line="240" w:lineRule="atLeast"/>
        <w:ind w:firstLine="480" w:firstLineChars="200"/>
        <w:jc w:val="left"/>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pPr>
      <w:r>
        <w:rPr>
          <w:rFonts w:hint="eastAsia" w:ascii="宋体" w:hAnsi="宋体" w:eastAsia="宋体" w:cs="宋体"/>
          <w:b w:val="0"/>
          <w:i w:val="0"/>
          <w:caps w:val="0"/>
          <w:color w:val="000000"/>
          <w:spacing w:val="0"/>
          <w:sz w:val="24"/>
          <w:szCs w:val="24"/>
          <w:lang w:val="en-US" w:eastAsia="zh-CN"/>
        </w:rPr>
        <w:t>2、根据自己所投产品与“</w:t>
      </w:r>
      <w:r>
        <w:rPr>
          <w:rFonts w:hint="eastAsia" w:ascii="宋体" w:hAnsi="宋体" w:eastAsia="宋体" w:cs="宋体"/>
          <w:b w:val="0"/>
          <w:i w:val="0"/>
          <w:caps w:val="0"/>
          <w:color w:val="000000"/>
          <w:spacing w:val="0"/>
          <w:sz w:val="24"/>
          <w:szCs w:val="24"/>
        </w:rPr>
        <w:t>询价采购文件规定的规格、参数</w:t>
      </w:r>
      <w:r>
        <w:rPr>
          <w:rFonts w:hint="eastAsia" w:ascii="宋体" w:hAnsi="宋体" w:eastAsia="宋体" w:cs="宋体"/>
          <w:b w:val="0"/>
          <w:i w:val="0"/>
          <w:caps w:val="0"/>
          <w:color w:val="000000"/>
          <w:spacing w:val="0"/>
          <w:sz w:val="24"/>
          <w:szCs w:val="24"/>
          <w:lang w:val="en-US" w:eastAsia="zh-CN"/>
        </w:rPr>
        <w:t>”的差异情况，实事求是地填写“响应情况”（</w:t>
      </w:r>
      <w:r>
        <w:rPr>
          <w:rFonts w:hint="eastAsia" w:ascii="宋体" w:hAnsi="宋体" w:eastAsia="宋体" w:cs="宋体"/>
          <w:b w:val="0"/>
          <w:i w:val="0"/>
          <w:caps w:val="0"/>
          <w:color w:val="000000"/>
          <w:spacing w:val="0"/>
          <w:sz w:val="24"/>
          <w:szCs w:val="24"/>
          <w:lang w:eastAsia="zh-CN"/>
        </w:rPr>
        <w:t>正偏离、无偏离、负偏离</w:t>
      </w:r>
      <w:r>
        <w:rPr>
          <w:rFonts w:hint="eastAsia" w:ascii="宋体" w:hAnsi="宋体" w:eastAsia="宋体" w:cs="宋体"/>
          <w:b w:val="0"/>
          <w:i w:val="0"/>
          <w:caps w:val="0"/>
          <w:color w:val="000000"/>
          <w:spacing w:val="0"/>
          <w:sz w:val="24"/>
          <w:szCs w:val="24"/>
          <w:lang w:val="en-US" w:eastAsia="zh-CN"/>
        </w:rPr>
        <w:t>），并</w:t>
      </w: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将这些差异内容用加粗的字体显示出来，</w:t>
      </w:r>
      <w:r>
        <w:rPr>
          <w:rFonts w:hint="eastAsia" w:ascii="宋体" w:hAnsi="宋体" w:eastAsia="宋体" w:cs="宋体"/>
          <w:b w:val="0"/>
          <w:bCs w:val="0"/>
          <w:i w:val="0"/>
          <w:caps w:val="0"/>
          <w:color w:val="FF0000"/>
          <w:spacing w:val="0"/>
          <w:kern w:val="0"/>
          <w:sz w:val="24"/>
          <w:szCs w:val="24"/>
          <w:shd w:val="clear" w:color="auto" w:fill="auto"/>
          <w:vertAlign w:val="baseline"/>
          <w:lang w:val="en-US" w:eastAsia="zh-CN" w:bidi="ar"/>
        </w:rPr>
        <w:t>任何规格参数出现负偏离则视为无效投标。</w:t>
      </w:r>
    </w:p>
    <w:p>
      <w:pPr>
        <w:spacing w:line="240" w:lineRule="atLeast"/>
        <w:ind w:firstLine="480" w:firstLineChars="200"/>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r>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t>3、供应商必须填写售后服务及售后服务响应情况；付款方式说明为告知内容可不填写。</w:t>
      </w:r>
    </w:p>
    <w:p>
      <w:pPr>
        <w:spacing w:line="240" w:lineRule="atLeast"/>
        <w:jc w:val="left"/>
        <w:rPr>
          <w:rFonts w:hint="eastAsia" w:ascii="宋体" w:hAnsi="宋体" w:eastAsia="宋体" w:cs="宋体"/>
          <w:b w:val="0"/>
          <w:bCs w:val="0"/>
          <w:i w:val="0"/>
          <w:caps w:val="0"/>
          <w:color w:val="auto"/>
          <w:spacing w:val="0"/>
          <w:kern w:val="0"/>
          <w:sz w:val="24"/>
          <w:szCs w:val="24"/>
          <w:shd w:val="clear" w:color="auto" w:fill="auto"/>
          <w:vertAlign w:val="baseline"/>
          <w:lang w:val="en-US" w:eastAsia="zh-CN" w:bidi="ar"/>
        </w:rPr>
      </w:pPr>
    </w:p>
    <w:p>
      <w:pPr>
        <w:adjustRightInd w:val="0"/>
        <w:snapToGrid w:val="0"/>
        <w:spacing w:line="300" w:lineRule="auto"/>
        <w:jc w:val="left"/>
        <w:outlineLvl w:val="0"/>
        <w:rPr>
          <w:rFonts w:hint="eastAsia"/>
          <w:b/>
          <w:bCs/>
          <w:color w:val="auto"/>
          <w:sz w:val="28"/>
          <w:szCs w:val="28"/>
        </w:rPr>
      </w:pPr>
      <w:r>
        <w:rPr>
          <w:rFonts w:hint="eastAsia"/>
          <w:b/>
          <w:bCs/>
          <w:color w:val="auto"/>
          <w:sz w:val="28"/>
          <w:szCs w:val="28"/>
          <w:lang w:eastAsia="zh-CN"/>
        </w:rPr>
        <w:t>附件</w:t>
      </w:r>
      <w:r>
        <w:rPr>
          <w:rFonts w:hint="eastAsia"/>
          <w:b/>
          <w:bCs/>
          <w:color w:val="auto"/>
          <w:sz w:val="28"/>
          <w:szCs w:val="28"/>
          <w:lang w:val="en-US" w:eastAsia="zh-CN"/>
        </w:rPr>
        <w:t xml:space="preserve">3                                     </w:t>
      </w:r>
      <w:r>
        <w:rPr>
          <w:rFonts w:hint="eastAsia"/>
          <w:b/>
          <w:bCs/>
          <w:color w:val="auto"/>
          <w:sz w:val="28"/>
          <w:szCs w:val="28"/>
        </w:rPr>
        <w:t>报价一览表</w:t>
      </w:r>
    </w:p>
    <w:tbl>
      <w:tblPr>
        <w:tblStyle w:val="10"/>
        <w:tblpPr w:leftFromText="180" w:rightFromText="180" w:vertAnchor="text" w:horzAnchor="page" w:tblpX="2503" w:tblpY="310"/>
        <w:tblOverlap w:val="never"/>
        <w:tblW w:w="11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2227"/>
        <w:gridCol w:w="4749"/>
        <w:gridCol w:w="1159"/>
        <w:gridCol w:w="1406"/>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029" w:hRule="atLeast"/>
          <w:jc w:val="center"/>
        </w:trPr>
        <w:tc>
          <w:tcPr>
            <w:tcW w:w="69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序号</w:t>
            </w:r>
          </w:p>
        </w:tc>
        <w:tc>
          <w:tcPr>
            <w:tcW w:w="2227"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询价项目名称</w:t>
            </w:r>
          </w:p>
        </w:tc>
        <w:tc>
          <w:tcPr>
            <w:tcW w:w="4749" w:type="dxa"/>
            <w:vAlign w:val="center"/>
          </w:tcPr>
          <w:p>
            <w:pPr>
              <w:widowControl/>
              <w:spacing w:before="180" w:line="345" w:lineRule="atLeast"/>
              <w:jc w:val="center"/>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报价货物品牌、型号</w:t>
            </w: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数量</w:t>
            </w:r>
          </w:p>
        </w:tc>
        <w:tc>
          <w:tcPr>
            <w:tcW w:w="1406"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采购控制价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投标人报价</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1</w:t>
            </w:r>
          </w:p>
        </w:tc>
        <w:tc>
          <w:tcPr>
            <w:tcW w:w="2227" w:type="dxa"/>
            <w:shd w:val="clear" w:color="auto" w:fill="FFFFFF"/>
            <w:vAlign w:val="center"/>
          </w:tcPr>
          <w:p>
            <w:pPr>
              <w:spacing w:line="240" w:lineRule="exact"/>
              <w:jc w:val="left"/>
              <w:rPr>
                <w:rFonts w:hint="eastAsia" w:ascii="宋体" w:hAnsi="宋体" w:eastAsia="宋体" w:cs="宋体"/>
                <w:b/>
                <w:bCs/>
                <w:color w:val="444444"/>
                <w:kern w:val="0"/>
                <w:sz w:val="21"/>
                <w:szCs w:val="21"/>
                <w:lang w:eastAsia="zh-CN"/>
              </w:rPr>
            </w:pPr>
            <w:r>
              <w:rPr>
                <w:rFonts w:hint="eastAsia" w:ascii="Times New Roman" w:hAnsi="Times New Roman"/>
                <w:szCs w:val="24"/>
              </w:rPr>
              <w:t>明湖二楼地胶</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 xml:space="preserve"> </w:t>
            </w:r>
          </w:p>
        </w:tc>
        <w:tc>
          <w:tcPr>
            <w:tcW w:w="1406" w:type="dxa"/>
            <w:vAlign w:val="center"/>
          </w:tcPr>
          <w:p>
            <w:pPr>
              <w:spacing w:line="240" w:lineRule="atLeast"/>
              <w:jc w:val="left"/>
              <w:rPr>
                <w:rFonts w:hint="eastAsia" w:ascii="宋体" w:hAnsi="宋体" w:eastAsia="宋体" w:cs="宋体"/>
                <w:b/>
                <w:bCs/>
                <w:color w:val="444444"/>
                <w:kern w:val="0"/>
                <w:sz w:val="21"/>
                <w:szCs w:val="21"/>
                <w:lang w:eastAsia="zh-CN"/>
              </w:rPr>
            </w:pPr>
            <w:r>
              <w:rPr>
                <w:rFonts w:hint="eastAsia" w:ascii="宋体" w:hAnsi="宋体" w:cs="宋体"/>
                <w:bCs/>
                <w:kern w:val="36"/>
                <w:szCs w:val="21"/>
                <w:lang w:val="en-US" w:eastAsia="zh-CN"/>
              </w:rPr>
              <w:t xml:space="preserve">  </w:t>
            </w: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8" w:hRule="atLeast"/>
          <w:jc w:val="center"/>
        </w:trPr>
        <w:tc>
          <w:tcPr>
            <w:tcW w:w="699" w:type="dxa"/>
            <w:shd w:val="clear" w:color="auto" w:fill="auto"/>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r>
              <w:rPr>
                <w:rFonts w:hint="eastAsia" w:ascii="宋体" w:hAnsi="宋体" w:eastAsia="宋体" w:cs="宋体"/>
                <w:b/>
                <w:bCs/>
                <w:color w:val="444444"/>
                <w:kern w:val="0"/>
                <w:sz w:val="21"/>
                <w:szCs w:val="21"/>
                <w:lang w:val="en-US" w:eastAsia="zh-CN"/>
              </w:rPr>
              <w:t>2</w:t>
            </w:r>
          </w:p>
        </w:tc>
        <w:tc>
          <w:tcPr>
            <w:tcW w:w="2227" w:type="dxa"/>
            <w:shd w:val="clear" w:color="auto" w:fill="FFFFFF"/>
            <w:vAlign w:val="center"/>
          </w:tcPr>
          <w:p>
            <w:pPr>
              <w:spacing w:line="240" w:lineRule="exact"/>
              <w:jc w:val="left"/>
              <w:rPr>
                <w:rFonts w:hint="eastAsia" w:ascii="宋体" w:hAnsi="宋体" w:eastAsia="宋体" w:cs="宋体"/>
                <w:kern w:val="0"/>
                <w:sz w:val="21"/>
                <w:szCs w:val="21"/>
                <w:lang w:val="en-US" w:eastAsia="zh-CN" w:bidi="ar"/>
              </w:rPr>
            </w:pPr>
            <w:r>
              <w:rPr>
                <w:rFonts w:hint="eastAsia" w:ascii="Times New Roman" w:hAnsi="Times New Roman"/>
                <w:szCs w:val="24"/>
              </w:rPr>
              <w:t>台球桌拆装（提供球袋、桌布并更换）</w:t>
            </w:r>
          </w:p>
        </w:tc>
        <w:tc>
          <w:tcPr>
            <w:tcW w:w="4749"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c>
          <w:tcPr>
            <w:tcW w:w="1159" w:type="dxa"/>
            <w:vAlign w:val="center"/>
          </w:tcPr>
          <w:p>
            <w:pPr>
              <w:widowControl/>
              <w:spacing w:before="180" w:line="345" w:lineRule="atLeast"/>
              <w:jc w:val="left"/>
              <w:rPr>
                <w:rFonts w:hint="eastAsia" w:ascii="宋体" w:hAnsi="宋体" w:eastAsia="宋体" w:cs="宋体"/>
                <w:b/>
                <w:bCs/>
                <w:color w:val="444444"/>
                <w:kern w:val="0"/>
                <w:sz w:val="21"/>
                <w:szCs w:val="21"/>
                <w:lang w:val="en-US" w:eastAsia="zh-CN"/>
              </w:rPr>
            </w:pPr>
          </w:p>
        </w:tc>
        <w:tc>
          <w:tcPr>
            <w:tcW w:w="1406" w:type="dxa"/>
            <w:vAlign w:val="center"/>
          </w:tcPr>
          <w:p>
            <w:pPr>
              <w:spacing w:line="240" w:lineRule="atLeast"/>
              <w:jc w:val="left"/>
              <w:rPr>
                <w:rFonts w:hint="eastAsia" w:ascii="宋体" w:hAnsi="宋体" w:cs="宋体"/>
                <w:bCs/>
                <w:kern w:val="36"/>
                <w:szCs w:val="21"/>
                <w:lang w:val="en-US" w:eastAsia="zh-CN"/>
              </w:rPr>
            </w:pPr>
          </w:p>
        </w:tc>
        <w:tc>
          <w:tcPr>
            <w:tcW w:w="1728" w:type="dxa"/>
            <w:vAlign w:val="center"/>
          </w:tcPr>
          <w:p>
            <w:pPr>
              <w:widowControl/>
              <w:spacing w:before="180" w:line="345" w:lineRule="atLeast"/>
              <w:jc w:val="left"/>
              <w:rPr>
                <w:rFonts w:hint="eastAsia" w:ascii="宋体" w:hAnsi="宋体" w:eastAsia="宋体" w:cs="宋体"/>
                <w:b/>
                <w:bCs/>
                <w:color w:val="444444"/>
                <w:kern w:val="0"/>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Theme="minorEastAsia"/>
                <w:lang w:val="en-US" w:eastAsia="zh-CN"/>
              </w:rPr>
            </w:pPr>
            <w:r>
              <w:rPr>
                <w:rFonts w:hint="eastAsia" w:ascii="宋体" w:hAnsi="宋体"/>
                <w:lang w:val="en-US" w:eastAsia="zh-CN"/>
              </w:rPr>
              <w:t xml:space="preserve">                                                                                       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rPr>
              <w:t xml:space="preserve">总报价：（大写）     拾      万      仟     佰     拾     元     角     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15" w:hRule="atLeast"/>
          <w:jc w:val="center"/>
        </w:trPr>
        <w:tc>
          <w:tcPr>
            <w:tcW w:w="11968" w:type="dxa"/>
            <w:gridSpan w:val="6"/>
            <w:shd w:val="clear" w:color="auto" w:fill="auto"/>
          </w:tcPr>
          <w:p>
            <w:pPr>
              <w:widowControl/>
              <w:spacing w:before="180" w:line="345" w:lineRule="atLeast"/>
              <w:jc w:val="left"/>
              <w:rPr>
                <w:rFonts w:hint="eastAsia" w:ascii="宋体" w:hAnsi="宋体"/>
              </w:rPr>
            </w:pPr>
            <w:r>
              <w:rPr>
                <w:rFonts w:hint="eastAsia" w:ascii="宋体" w:hAnsi="宋体"/>
                <w:lang w:eastAsia="zh-CN"/>
              </w:rPr>
              <w:t>投</w:t>
            </w:r>
            <w:r>
              <w:rPr>
                <w:rFonts w:hint="eastAsia" w:ascii="宋体" w:hAnsi="宋体"/>
              </w:rPr>
              <w:t>标人代表</w:t>
            </w:r>
            <w:r>
              <w:rPr>
                <w:rFonts w:hint="eastAsia" w:ascii="宋体" w:hAnsi="宋体"/>
                <w:lang w:eastAsia="zh-CN"/>
              </w:rPr>
              <w:t>签字</w:t>
            </w:r>
            <w:r>
              <w:rPr>
                <w:rFonts w:hint="eastAsia" w:ascii="宋体" w:hAnsi="宋体"/>
              </w:rPr>
              <w:t xml:space="preserve">：                   </w:t>
            </w:r>
            <w:r>
              <w:rPr>
                <w:rFonts w:hint="eastAsia" w:ascii="宋体" w:hAnsi="宋体"/>
                <w:lang w:val="en-US" w:eastAsia="zh-CN"/>
              </w:rPr>
              <w:t xml:space="preserve">    </w:t>
            </w:r>
            <w:r>
              <w:rPr>
                <w:rFonts w:hint="eastAsia" w:ascii="宋体" w:hAnsi="宋体"/>
              </w:rPr>
              <w:t xml:space="preserve">            时间：</w:t>
            </w:r>
            <w:r>
              <w:rPr>
                <w:rFonts w:hint="eastAsia" w:ascii="宋体" w:hAnsi="宋体"/>
                <w:lang w:val="en-US" w:eastAsia="zh-CN"/>
              </w:rPr>
              <w:t xml:space="preserve">       </w:t>
            </w:r>
            <w:r>
              <w:rPr>
                <w:rFonts w:hint="eastAsia" w:ascii="宋体" w:hAnsi="宋体"/>
              </w:rPr>
              <w:t>年   月   日</w:t>
            </w:r>
          </w:p>
        </w:tc>
      </w:tr>
    </w:tbl>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eastAsia="zh-CN"/>
        </w:rPr>
        <w:t>《报价一览表》填写须知</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1.</w:t>
      </w:r>
      <w:r>
        <w:rPr>
          <w:rFonts w:hint="eastAsia" w:ascii="宋体" w:hAnsi="宋体" w:eastAsia="宋体" w:cs="宋体"/>
          <w:b/>
          <w:bCs/>
          <w:color w:val="444444"/>
          <w:kern w:val="0"/>
          <w:sz w:val="21"/>
          <w:szCs w:val="21"/>
          <w:lang w:eastAsia="zh-CN"/>
        </w:rPr>
        <w:t>《报价一览表》每一页均需加盖单位盖章。</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2.</w:t>
      </w:r>
      <w:r>
        <w:rPr>
          <w:rFonts w:hint="eastAsia" w:ascii="宋体" w:hAnsi="宋体" w:eastAsia="宋体" w:cs="宋体"/>
          <w:b/>
          <w:bCs/>
          <w:color w:val="444444"/>
          <w:kern w:val="0"/>
          <w:sz w:val="21"/>
          <w:szCs w:val="21"/>
          <w:lang w:eastAsia="zh-CN"/>
        </w:rPr>
        <w:t>《报价一览表》的报价为最终报价，不允许二次报价或对报价进行修改。</w:t>
      </w:r>
    </w:p>
    <w:p>
      <w:pPr>
        <w:widowControl/>
        <w:spacing w:before="180" w:line="345" w:lineRule="atLeast"/>
        <w:jc w:val="left"/>
        <w:rPr>
          <w:rFonts w:hint="eastAsia" w:ascii="宋体" w:hAnsi="宋体" w:eastAsia="宋体" w:cs="宋体"/>
          <w:b/>
          <w:bCs/>
          <w:color w:val="FF0000"/>
          <w:kern w:val="0"/>
          <w:sz w:val="21"/>
          <w:szCs w:val="21"/>
          <w:lang w:val="en-US" w:eastAsia="zh-CN"/>
        </w:rPr>
      </w:pPr>
      <w:r>
        <w:rPr>
          <w:rFonts w:hint="eastAsia" w:ascii="宋体" w:hAnsi="宋体" w:eastAsia="宋体" w:cs="宋体"/>
          <w:b/>
          <w:bCs/>
          <w:color w:val="FF0000"/>
          <w:kern w:val="0"/>
          <w:sz w:val="21"/>
          <w:szCs w:val="21"/>
          <w:lang w:val="en-US" w:eastAsia="zh-CN"/>
        </w:rPr>
        <w:t>3.《报价一览表》中各项报价不得高于采购控制价，报价高于采购控制价的均视为无效投标。</w:t>
      </w:r>
    </w:p>
    <w:p>
      <w:pPr>
        <w:widowControl/>
        <w:spacing w:before="180" w:line="345" w:lineRule="atLeast"/>
        <w:jc w:val="left"/>
        <w:rPr>
          <w:rFonts w:hint="eastAsia" w:ascii="宋体" w:hAnsi="宋体" w:eastAsia="宋体" w:cs="宋体"/>
          <w:b/>
          <w:bCs/>
          <w:color w:val="444444"/>
          <w:kern w:val="0"/>
          <w:sz w:val="21"/>
          <w:szCs w:val="21"/>
          <w:lang w:eastAsia="zh-CN"/>
        </w:rPr>
      </w:pPr>
      <w:r>
        <w:rPr>
          <w:rFonts w:hint="eastAsia" w:ascii="宋体" w:hAnsi="宋体" w:eastAsia="宋体" w:cs="宋体"/>
          <w:b/>
          <w:bCs/>
          <w:color w:val="444444"/>
          <w:kern w:val="0"/>
          <w:sz w:val="21"/>
          <w:szCs w:val="21"/>
          <w:lang w:val="en-US" w:eastAsia="zh-CN"/>
        </w:rPr>
        <w:t>4.</w:t>
      </w:r>
      <w:r>
        <w:rPr>
          <w:rFonts w:hint="eastAsia" w:ascii="宋体" w:hAnsi="宋体" w:eastAsia="宋体" w:cs="宋体"/>
          <w:b/>
          <w:bCs/>
          <w:color w:val="444444"/>
          <w:kern w:val="0"/>
          <w:sz w:val="21"/>
          <w:szCs w:val="21"/>
          <w:lang w:eastAsia="zh-CN"/>
        </w:rPr>
        <w:t>以上费用含施工费、含装卸费、含到施工场地运输费、含增值税普票。</w:t>
      </w:r>
    </w:p>
    <w:p>
      <w:pPr>
        <w:widowControl/>
        <w:spacing w:before="180" w:line="345" w:lineRule="atLeast"/>
        <w:jc w:val="left"/>
        <w:rPr>
          <w:rFonts w:hint="eastAsia" w:ascii="宋体" w:hAnsi="宋体" w:eastAsia="宋体" w:cs="宋体"/>
          <w:b/>
          <w:bCs/>
          <w:color w:val="FF0000"/>
          <w:kern w:val="0"/>
          <w:sz w:val="21"/>
          <w:szCs w:val="21"/>
          <w:lang w:val="en-US" w:eastAsia="zh-CN"/>
        </w:rPr>
        <w:sectPr>
          <w:pgSz w:w="16838" w:h="11906" w:orient="landscape"/>
          <w:pgMar w:top="580" w:right="820" w:bottom="432" w:left="1440" w:header="851" w:footer="992" w:gutter="0"/>
          <w:cols w:space="425" w:num="1"/>
          <w:docGrid w:type="lines" w:linePitch="312" w:charSpace="0"/>
        </w:sectPr>
      </w:pPr>
    </w:p>
    <w:p>
      <w:pPr>
        <w:rPr>
          <w:rFonts w:hint="eastAsia"/>
          <w:lang w:val="en-US"/>
        </w:rPr>
      </w:pPr>
      <w:r>
        <w:rPr>
          <w:rFonts w:hint="eastAsia"/>
        </w:rPr>
        <w:t>附件</w:t>
      </w:r>
      <w:r>
        <w:rPr>
          <w:rFonts w:hint="eastAsia"/>
          <w:lang w:val="en-US" w:eastAsia="zh-CN"/>
        </w:rPr>
        <w:t>4</w:t>
      </w:r>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14"/>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项目中包</w:t>
      </w:r>
      <w:r>
        <w:rPr>
          <w:rFonts w:hint="eastAsia" w:ascii="宋体" w:hAnsi="宋体"/>
          <w:sz w:val="21"/>
          <w:szCs w:val="21"/>
          <w:u w:val="single"/>
          <w:lang w:eastAsia="zh-CN"/>
        </w:rPr>
        <w:t xml:space="preserve">  </w:t>
      </w:r>
      <w:r>
        <w:rPr>
          <w:rFonts w:hint="eastAsia" w:ascii="宋体" w:hAnsi="宋体"/>
          <w:sz w:val="21"/>
          <w:szCs w:val="21"/>
          <w:u w:val="single"/>
          <w:lang w:val="en-US" w:eastAsia="zh-CN"/>
        </w:rPr>
        <w:t xml:space="preserve">  </w:t>
      </w:r>
      <w:r>
        <w:rPr>
          <w:rFonts w:hint="eastAsia" w:ascii="宋体" w:hAnsi="宋体"/>
          <w:sz w:val="21"/>
          <w:szCs w:val="21"/>
          <w:lang w:eastAsia="zh-CN"/>
        </w:rPr>
        <w:t>（</w:t>
      </w:r>
      <w:r>
        <w:rPr>
          <w:rFonts w:hint="eastAsia" w:ascii="宋体" w:hAnsi="宋体" w:eastAsia="宋体" w:cs="宋体"/>
          <w:kern w:val="0"/>
          <w:szCs w:val="21"/>
        </w:rPr>
        <w:t>后勤招</w:t>
      </w:r>
      <w:r>
        <w:rPr>
          <w:rFonts w:hint="eastAsia" w:ascii="宋体" w:hAnsi="宋体" w:eastAsia="宋体" w:cs="宋体"/>
          <w:color w:val="FF0000"/>
          <w:kern w:val="0"/>
          <w:szCs w:val="21"/>
          <w:lang w:val="en-US" w:eastAsia="zh-CN"/>
        </w:rPr>
        <w:t>XXXXXX</w:t>
      </w:r>
      <w:r>
        <w:rPr>
          <w:rFonts w:hint="eastAsia" w:ascii="宋体" w:hAnsi="宋体" w:eastAsia="宋体" w:cs="宋体"/>
          <w:kern w:val="0"/>
          <w:szCs w:val="21"/>
        </w:rPr>
        <w:t>号</w:t>
      </w:r>
      <w:r>
        <w:rPr>
          <w:rFonts w:hint="eastAsia" w:ascii="宋体" w:hAnsi="宋体"/>
          <w:color w:val="auto"/>
          <w:sz w:val="21"/>
          <w:szCs w:val="21"/>
          <w:lang w:eastAsia="zh-CN"/>
        </w:rPr>
        <w:t>）</w:t>
      </w:r>
      <w:r>
        <w:rPr>
          <w:rFonts w:hint="eastAsia" w:ascii="宋体" w:hAnsi="宋体"/>
          <w:sz w:val="21"/>
          <w:szCs w:val="21"/>
          <w:lang w:eastAsia="zh-CN"/>
        </w:rPr>
        <w:t>询价活动，全权代表本公司处理投标过程的一切事宜，包括但不限于：投标、报价、参与开标、谈判、签约等。投标人的委托代理人在投标过程中所签署的一切文件和处理与之有关的一切事务，本公司均予以认可并对此承担责任。投标人的委托代理人无转委权。特此授权。</w:t>
      </w:r>
    </w:p>
    <w:p>
      <w:pPr>
        <w:pStyle w:val="14"/>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5</w:t>
      </w:r>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   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eastAsia="宋体" w:cs="宋体"/>
          <w:color w:val="444444"/>
          <w:kern w:val="0"/>
          <w:szCs w:val="21"/>
          <w:u w:val="none"/>
          <w:lang w:val="en-US" w:eastAsia="zh-CN"/>
        </w:rPr>
        <w:t>包序：</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的询价通知书，本人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（供应商名称）提交响应文件正本</w:t>
      </w:r>
      <w:r>
        <w:rPr>
          <w:rFonts w:hint="eastAsia" w:ascii="宋体" w:hAnsi="宋体" w:eastAsia="宋体" w:cs="宋体"/>
          <w:color w:val="444444"/>
          <w:kern w:val="0"/>
          <w:szCs w:val="21"/>
          <w:lang w:eastAsia="zh-CN"/>
        </w:rPr>
        <w:t>壹</w:t>
      </w:r>
      <w:r>
        <w:rPr>
          <w:rFonts w:ascii="宋体" w:hAnsi="宋体" w:eastAsia="宋体" w:cs="宋体"/>
          <w:color w:val="444444"/>
          <w:kern w:val="0"/>
          <w:szCs w:val="21"/>
        </w:rPr>
        <w:t>份和副本一式</w:t>
      </w:r>
      <w:r>
        <w:rPr>
          <w:rFonts w:hint="eastAsia" w:ascii="宋体" w:hAnsi="宋体" w:cs="宋体"/>
          <w:color w:val="444444"/>
          <w:kern w:val="0"/>
          <w:szCs w:val="21"/>
          <w:lang w:eastAsia="zh-CN"/>
        </w:rPr>
        <w:t>贰</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rPr>
      </w:pPr>
    </w:p>
    <w:sectPr>
      <w:pgSz w:w="11906" w:h="16838"/>
      <w:pgMar w:top="820" w:right="432" w:bottom="1440" w:left="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00000287"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1446279"/>
    <w:rsid w:val="02043FCF"/>
    <w:rsid w:val="024E258E"/>
    <w:rsid w:val="02CE3CE3"/>
    <w:rsid w:val="02EC034B"/>
    <w:rsid w:val="03837B83"/>
    <w:rsid w:val="03BE128D"/>
    <w:rsid w:val="04686E69"/>
    <w:rsid w:val="048A3EFA"/>
    <w:rsid w:val="075C3809"/>
    <w:rsid w:val="077B1C63"/>
    <w:rsid w:val="08FE0A90"/>
    <w:rsid w:val="0BAE6E41"/>
    <w:rsid w:val="0BEC35F6"/>
    <w:rsid w:val="0BF875A1"/>
    <w:rsid w:val="0C3A749E"/>
    <w:rsid w:val="0C4C7F8B"/>
    <w:rsid w:val="0D5E549B"/>
    <w:rsid w:val="0DCA1566"/>
    <w:rsid w:val="0E416513"/>
    <w:rsid w:val="0E537B47"/>
    <w:rsid w:val="0FF06B03"/>
    <w:rsid w:val="112C7FDD"/>
    <w:rsid w:val="11A46471"/>
    <w:rsid w:val="13E41DD4"/>
    <w:rsid w:val="14AF0F61"/>
    <w:rsid w:val="15583548"/>
    <w:rsid w:val="15F60B85"/>
    <w:rsid w:val="166A47DF"/>
    <w:rsid w:val="16AD613F"/>
    <w:rsid w:val="180145C5"/>
    <w:rsid w:val="18491034"/>
    <w:rsid w:val="189A257A"/>
    <w:rsid w:val="19452A3C"/>
    <w:rsid w:val="195A4546"/>
    <w:rsid w:val="197628A4"/>
    <w:rsid w:val="19F33F76"/>
    <w:rsid w:val="1A347C37"/>
    <w:rsid w:val="1B7056EB"/>
    <w:rsid w:val="1B7B7807"/>
    <w:rsid w:val="1BAB54AC"/>
    <w:rsid w:val="1BF666A7"/>
    <w:rsid w:val="1CCE40B8"/>
    <w:rsid w:val="1D293B6D"/>
    <w:rsid w:val="1D3C473A"/>
    <w:rsid w:val="1E161604"/>
    <w:rsid w:val="1E1957DB"/>
    <w:rsid w:val="1EC9096B"/>
    <w:rsid w:val="1ED8629B"/>
    <w:rsid w:val="212360FB"/>
    <w:rsid w:val="21B94AA3"/>
    <w:rsid w:val="21F541B0"/>
    <w:rsid w:val="22245844"/>
    <w:rsid w:val="244C6003"/>
    <w:rsid w:val="2554468F"/>
    <w:rsid w:val="256C64BF"/>
    <w:rsid w:val="26AC258B"/>
    <w:rsid w:val="26D14F47"/>
    <w:rsid w:val="277213F8"/>
    <w:rsid w:val="28796EC5"/>
    <w:rsid w:val="288621D9"/>
    <w:rsid w:val="28E8281A"/>
    <w:rsid w:val="29B328FB"/>
    <w:rsid w:val="29CB4FB8"/>
    <w:rsid w:val="29EC39E8"/>
    <w:rsid w:val="2A1A16EB"/>
    <w:rsid w:val="2AEB7A4C"/>
    <w:rsid w:val="2B4112A4"/>
    <w:rsid w:val="2B480659"/>
    <w:rsid w:val="2C0815D1"/>
    <w:rsid w:val="2E6A72D7"/>
    <w:rsid w:val="30123D8F"/>
    <w:rsid w:val="319A1D3F"/>
    <w:rsid w:val="31F82ADC"/>
    <w:rsid w:val="325241F7"/>
    <w:rsid w:val="33806566"/>
    <w:rsid w:val="33B34D30"/>
    <w:rsid w:val="343A30A6"/>
    <w:rsid w:val="34BB1BD4"/>
    <w:rsid w:val="34FB094B"/>
    <w:rsid w:val="366E11ED"/>
    <w:rsid w:val="36CC298D"/>
    <w:rsid w:val="37A334E6"/>
    <w:rsid w:val="38274C0F"/>
    <w:rsid w:val="38393E34"/>
    <w:rsid w:val="384A3254"/>
    <w:rsid w:val="38702123"/>
    <w:rsid w:val="395C1069"/>
    <w:rsid w:val="3B822710"/>
    <w:rsid w:val="3C345715"/>
    <w:rsid w:val="3C8C5FE4"/>
    <w:rsid w:val="3DD36A73"/>
    <w:rsid w:val="3E134C87"/>
    <w:rsid w:val="3E6F1FA6"/>
    <w:rsid w:val="3EAE2061"/>
    <w:rsid w:val="3F0D1FA4"/>
    <w:rsid w:val="3F252173"/>
    <w:rsid w:val="421A7168"/>
    <w:rsid w:val="44173AE6"/>
    <w:rsid w:val="4500717D"/>
    <w:rsid w:val="462B6795"/>
    <w:rsid w:val="46EF0183"/>
    <w:rsid w:val="48D5715C"/>
    <w:rsid w:val="48F17334"/>
    <w:rsid w:val="48F3368E"/>
    <w:rsid w:val="494C0D39"/>
    <w:rsid w:val="49850959"/>
    <w:rsid w:val="49A10AFA"/>
    <w:rsid w:val="49CF6963"/>
    <w:rsid w:val="4A2C00BC"/>
    <w:rsid w:val="4A4461A6"/>
    <w:rsid w:val="4AE06FFA"/>
    <w:rsid w:val="4B8E78B8"/>
    <w:rsid w:val="4BC8308A"/>
    <w:rsid w:val="4BEF7875"/>
    <w:rsid w:val="4CB4349A"/>
    <w:rsid w:val="4DB37839"/>
    <w:rsid w:val="4E6D4DA5"/>
    <w:rsid w:val="4FC56086"/>
    <w:rsid w:val="50B46857"/>
    <w:rsid w:val="51C50B10"/>
    <w:rsid w:val="52E95B48"/>
    <w:rsid w:val="532C5605"/>
    <w:rsid w:val="535C288C"/>
    <w:rsid w:val="539B3A41"/>
    <w:rsid w:val="53BF7E2B"/>
    <w:rsid w:val="54806F8C"/>
    <w:rsid w:val="54C34438"/>
    <w:rsid w:val="550347C5"/>
    <w:rsid w:val="55111B2A"/>
    <w:rsid w:val="55194A10"/>
    <w:rsid w:val="560E6E69"/>
    <w:rsid w:val="56756547"/>
    <w:rsid w:val="57336DF5"/>
    <w:rsid w:val="573C1CC2"/>
    <w:rsid w:val="587777E3"/>
    <w:rsid w:val="58846FE7"/>
    <w:rsid w:val="58D273D4"/>
    <w:rsid w:val="5B667C56"/>
    <w:rsid w:val="5B873C80"/>
    <w:rsid w:val="5C3F10CD"/>
    <w:rsid w:val="5C5315AD"/>
    <w:rsid w:val="5CC8148D"/>
    <w:rsid w:val="5CDD2189"/>
    <w:rsid w:val="5D496B43"/>
    <w:rsid w:val="5D97099A"/>
    <w:rsid w:val="5FC82F44"/>
    <w:rsid w:val="60451E2C"/>
    <w:rsid w:val="610D763F"/>
    <w:rsid w:val="62CD0F8D"/>
    <w:rsid w:val="63B32525"/>
    <w:rsid w:val="63D42D01"/>
    <w:rsid w:val="64D44605"/>
    <w:rsid w:val="66E03C52"/>
    <w:rsid w:val="6706137C"/>
    <w:rsid w:val="673208DA"/>
    <w:rsid w:val="67342013"/>
    <w:rsid w:val="67C57B88"/>
    <w:rsid w:val="68092A31"/>
    <w:rsid w:val="685A7572"/>
    <w:rsid w:val="6983772C"/>
    <w:rsid w:val="69E927C6"/>
    <w:rsid w:val="6A417029"/>
    <w:rsid w:val="6B160DE7"/>
    <w:rsid w:val="6B6A5B05"/>
    <w:rsid w:val="6CB42952"/>
    <w:rsid w:val="6CB44F64"/>
    <w:rsid w:val="6D191EB7"/>
    <w:rsid w:val="6DDB5DEA"/>
    <w:rsid w:val="6F557EBD"/>
    <w:rsid w:val="6FC02034"/>
    <w:rsid w:val="70C11A75"/>
    <w:rsid w:val="70D90FCF"/>
    <w:rsid w:val="711A479E"/>
    <w:rsid w:val="711D3818"/>
    <w:rsid w:val="719B4A18"/>
    <w:rsid w:val="71BB4F85"/>
    <w:rsid w:val="72D37BE8"/>
    <w:rsid w:val="730F411E"/>
    <w:rsid w:val="74E12AF7"/>
    <w:rsid w:val="75514BEB"/>
    <w:rsid w:val="772338A8"/>
    <w:rsid w:val="774A5F0D"/>
    <w:rsid w:val="7822047E"/>
    <w:rsid w:val="78475357"/>
    <w:rsid w:val="78AF2EB8"/>
    <w:rsid w:val="78B54D6F"/>
    <w:rsid w:val="79071F8D"/>
    <w:rsid w:val="7A8B01B7"/>
    <w:rsid w:val="7AE96229"/>
    <w:rsid w:val="7BA53631"/>
    <w:rsid w:val="7BD02257"/>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7">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FollowedHyperlink"/>
    <w:basedOn w:val="7"/>
    <w:unhideWhenUsed/>
    <w:qFormat/>
    <w:uiPriority w:val="99"/>
    <w:rPr>
      <w:color w:val="000000"/>
      <w:u w:val="none"/>
    </w:rPr>
  </w:style>
  <w:style w:type="character" w:styleId="9">
    <w:name w:val="Hyperlink"/>
    <w:basedOn w:val="7"/>
    <w:unhideWhenUsed/>
    <w:qFormat/>
    <w:uiPriority w:val="99"/>
    <w:rPr>
      <w:color w:val="000000"/>
      <w:u w:val="none"/>
    </w:rPr>
  </w:style>
  <w:style w:type="character" w:customStyle="1" w:styleId="11">
    <w:name w:val="页眉 Char"/>
    <w:basedOn w:val="7"/>
    <w:link w:val="5"/>
    <w:qFormat/>
    <w:uiPriority w:val="99"/>
    <w:rPr>
      <w:sz w:val="18"/>
      <w:szCs w:val="18"/>
    </w:rPr>
  </w:style>
  <w:style w:type="character" w:customStyle="1" w:styleId="12">
    <w:name w:val="页脚 Char"/>
    <w:basedOn w:val="7"/>
    <w:link w:val="4"/>
    <w:qFormat/>
    <w:uiPriority w:val="99"/>
    <w:rPr>
      <w:sz w:val="18"/>
      <w:szCs w:val="18"/>
    </w:rPr>
  </w:style>
  <w:style w:type="paragraph" w:customStyle="1" w:styleId="13">
    <w:name w:val="List Paragraph"/>
    <w:basedOn w:val="1"/>
    <w:qFormat/>
    <w:uiPriority w:val="34"/>
    <w:pPr>
      <w:ind w:firstLine="420" w:firstLineChars="200"/>
    </w:pPr>
  </w:style>
  <w:style w:type="paragraph" w:customStyle="1" w:styleId="1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5">
    <w:name w:val="apple-converted-space"/>
    <w:basedOn w:val="7"/>
    <w:qFormat/>
    <w:uiPriority w:val="0"/>
  </w:style>
  <w:style w:type="paragraph" w:customStyle="1" w:styleId="16">
    <w:name w:val="样式3"/>
    <w:basedOn w:val="3"/>
    <w:qFormat/>
    <w:uiPriority w:val="0"/>
    <w:pPr>
      <w:spacing w:line="0" w:lineRule="atLeast"/>
      <w:outlineLvl w:val="0"/>
    </w:pPr>
    <w:rPr>
      <w:rFonts w:cs="Times New Roman"/>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TotalTime>0</TotalTime>
  <ScaleCrop>false</ScaleCrop>
  <LinksUpToDate>false</LinksUpToDate>
  <CharactersWithSpaces>2869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cp:lastPrinted>2018-06-14T03:12:00Z</cp:lastPrinted>
  <dcterms:modified xsi:type="dcterms:W3CDTF">2018-06-14T07:50:50Z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