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b/>
          <w:bCs/>
          <w:color w:val="393939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393939"/>
          <w:kern w:val="0"/>
          <w:sz w:val="28"/>
          <w:szCs w:val="28"/>
          <w:lang w:eastAsia="zh-CN"/>
        </w:rPr>
        <w:t>说明：</w:t>
      </w:r>
    </w:p>
    <w:p>
      <w:pPr>
        <w:widowControl/>
        <w:jc w:val="left"/>
        <w:rPr>
          <w:rFonts w:hint="eastAsia" w:ascii="宋体" w:hAnsi="宋体" w:eastAsia="宋体" w:cs="宋体"/>
          <w:color w:val="393939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材料</w:t>
      </w: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部分：</w:t>
      </w: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强弱电辅材，UTP6网络线，配电箱，采用国标电力电缆，内径金属足量，电源排插采用最新国标，金属桥架，塑料管材，理线架，单模光缆（12芯），单模尾纤，光缆配线架，辅材；包括跟旧实训室通过光纤连接，并预留≥2单模光纤线；</w:t>
      </w:r>
    </w:p>
    <w:p>
      <w:pPr>
        <w:widowControl/>
        <w:jc w:val="left"/>
        <w:rPr>
          <w:rFonts w:hint="eastAsia" w:ascii="宋体" w:hAnsi="宋体" w:eastAsia="宋体" w:cs="宋体"/>
          <w:color w:val="393939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改造</w:t>
      </w: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部分：</w:t>
      </w: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部分砖（石）砌体改造，部分门窗对移位置并补充砖墙，讲台块料拆除，墙面一般抹灰，墙面喷刷环保水性涂料，机房、仓库地面垫高及安装门窗、防火门，部分照明灯及开关改造；</w:t>
      </w:r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 xml:space="preserve"> </w:t>
      </w:r>
    </w:p>
    <w:p>
      <w:r>
        <w:rPr>
          <w:rFonts w:hint="eastAsia" w:ascii="宋体" w:hAnsi="宋体" w:eastAsia="宋体" w:cs="宋体"/>
          <w:color w:val="393939"/>
          <w:kern w:val="0"/>
          <w:sz w:val="28"/>
          <w:szCs w:val="28"/>
        </w:rPr>
        <w:t>中标方</w:t>
      </w:r>
      <w:r>
        <w:rPr>
          <w:rFonts w:hint="eastAsia" w:ascii="宋体" w:hAnsi="宋体" w:eastAsia="宋体" w:cs="宋体"/>
          <w:sz w:val="28"/>
          <w:szCs w:val="28"/>
        </w:rPr>
        <w:t>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下图所示</w:t>
      </w:r>
      <w:r>
        <w:rPr>
          <w:rFonts w:hint="eastAsia" w:ascii="宋体" w:hAnsi="宋体" w:eastAsia="宋体" w:cs="宋体"/>
          <w:sz w:val="28"/>
          <w:szCs w:val="28"/>
        </w:rPr>
        <w:t>平面图出设计施工图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br w:type="page"/>
      </w:r>
      <w:bookmarkStart w:id="0" w:name="_GoBack"/>
      <w:r>
        <w:rPr>
          <w:rFonts w:ascii="宋体" w:hAnsi="宋体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-735330</wp:posOffset>
            </wp:positionH>
            <wp:positionV relativeFrom="paragraph">
              <wp:posOffset>-772795</wp:posOffset>
            </wp:positionV>
            <wp:extent cx="10261600" cy="6946900"/>
            <wp:effectExtent l="0" t="0" r="6350" b="6350"/>
            <wp:wrapNone/>
            <wp:docPr id="5" name="图片 5" descr="C:\Users\Administrator\AppData\Roaming\Tencent\Users\392965115\QQ\WinTemp\RichOle\F$A3BAPDP%[S%`6W~({B5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Roaming\Tencent\Users\392965115\QQ\WinTemp\RichOle\F$A3BAPDP%[S%`6W~({B5AC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6160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br w:type="page"/>
      </w:r>
    </w:p>
    <w:p/>
    <w:p/>
    <w:p>
      <w:r>
        <w:rPr>
          <w:rFonts w:ascii="宋体" w:hAnsi="宋体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-603250</wp:posOffset>
            </wp:positionH>
            <wp:positionV relativeFrom="paragraph">
              <wp:posOffset>99060</wp:posOffset>
            </wp:positionV>
            <wp:extent cx="10058400" cy="6997700"/>
            <wp:effectExtent l="0" t="0" r="0" b="12700"/>
            <wp:wrapNone/>
            <wp:docPr id="9" name="图片 9" descr="C:\Users\Administrator\AppData\Roaming\Tencent\Users\392965115\QQ\WinTemp\RichOle\S)L74RJEI({1@%)EP0XSQ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AppData\Roaming\Tencent\Users\392965115\QQ\WinTemp\RichOle\S)L74RJEI({1@%)EP0XSQ9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0" cy="699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3A014D"/>
    <w:rsid w:val="423A014D"/>
    <w:rsid w:val="650109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2018-10-15T00:50:00Z</dcterms:created>
  <dc:creator>彭莎</dc:creator>
  <cp:lastModifiedBy>彭莎</cp:lastModifiedBy>
  <dcterms:modified xsi:type="dcterms:W3CDTF">2018-10-15T01:03:52Z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